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DDFE" w14:textId="37149E55" w:rsidR="00C8696E" w:rsidRPr="00AB486D" w:rsidRDefault="00937A76" w:rsidP="00B82F45">
      <w:pPr>
        <w:pStyle w:val="Heading1"/>
        <w:rPr>
          <w:rFonts w:eastAsiaTheme="minorHAnsi"/>
        </w:rPr>
      </w:pPr>
      <w:r w:rsidRPr="00AB486D"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7F12D9DA" wp14:editId="1B065170">
            <wp:simplePos x="0" y="0"/>
            <wp:positionH relativeFrom="column">
              <wp:posOffset>0</wp:posOffset>
            </wp:positionH>
            <wp:positionV relativeFrom="paragraph">
              <wp:posOffset>432</wp:posOffset>
            </wp:positionV>
            <wp:extent cx="6583680" cy="1602105"/>
            <wp:effectExtent l="0" t="0" r="7620" b="0"/>
            <wp:wrapThrough wrapText="bothSides">
              <wp:wrapPolygon edited="0">
                <wp:start x="0" y="0"/>
                <wp:lineTo x="0" y="21317"/>
                <wp:lineTo x="21563" y="21317"/>
                <wp:lineTo x="21563" y="0"/>
                <wp:lineTo x="0" y="0"/>
              </wp:wrapPolygon>
            </wp:wrapThrough>
            <wp:docPr id="1" name="Picture 1" descr="Logo for  Montana Department of Labor and Industry. The logo is several people hold hands around the center of a wheel." title="Montan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b.dli.mt.gov/dlitemplateslogos/DLI-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6E" w:rsidRPr="00AB486D">
        <w:rPr>
          <w:rFonts w:eastAsiaTheme="minorHAnsi"/>
        </w:rPr>
        <w:t>Division: Workforce Services Division</w:t>
      </w:r>
    </w:p>
    <w:p w14:paraId="7012F8F7" w14:textId="77777777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Category: Programs</w:t>
      </w:r>
    </w:p>
    <w:p w14:paraId="22E61591" w14:textId="5E9F1D2C" w:rsidR="00C8696E" w:rsidRPr="0022656B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Effective Date: </w:t>
      </w:r>
      <w:r w:rsidR="00CC0C4A">
        <w:rPr>
          <w:b/>
          <w:sz w:val="20"/>
          <w:szCs w:val="20"/>
        </w:rPr>
        <w:t>10/1/2021</w:t>
      </w:r>
    </w:p>
    <w:p w14:paraId="6FD63390" w14:textId="62037B6C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 w:rsidRPr="0022656B">
        <w:rPr>
          <w:b/>
          <w:sz w:val="20"/>
          <w:szCs w:val="20"/>
        </w:rPr>
        <w:t xml:space="preserve">Last Revised: </w:t>
      </w:r>
      <w:r w:rsidR="00CC0C4A">
        <w:rPr>
          <w:b/>
          <w:sz w:val="20"/>
          <w:szCs w:val="20"/>
        </w:rPr>
        <w:t>10</w:t>
      </w:r>
      <w:r w:rsidR="004B24E6">
        <w:rPr>
          <w:b/>
          <w:sz w:val="20"/>
          <w:szCs w:val="20"/>
        </w:rPr>
        <w:t>/1/2021</w:t>
      </w:r>
    </w:p>
    <w:p w14:paraId="07851DFE" w14:textId="77777777" w:rsidR="00C8696E" w:rsidRDefault="00C8696E" w:rsidP="00C8696E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Policy No.: 04-16</w:t>
      </w:r>
    </w:p>
    <w:p w14:paraId="18DC445C" w14:textId="77777777" w:rsidR="00E22B9E" w:rsidRDefault="00C8696E" w:rsidP="00EB7E7B">
      <w:pPr>
        <w:pStyle w:val="Title"/>
      </w:pPr>
      <w:r w:rsidRPr="00EB7E7B">
        <w:t>Health and Economic Livelihood Partnership (HELP) Link</w:t>
      </w:r>
    </w:p>
    <w:p w14:paraId="553741E8" w14:textId="7A2C1D28" w:rsidR="00C8696E" w:rsidRPr="00EB7E7B" w:rsidRDefault="00C8696E" w:rsidP="00EB7E7B">
      <w:pPr>
        <w:pStyle w:val="Title"/>
      </w:pPr>
      <w:r w:rsidRPr="00EB7E7B">
        <w:t>Policy</w:t>
      </w:r>
      <w:r w:rsidR="00B75DEC">
        <w:t xml:space="preserve"> - Enrollment</w:t>
      </w:r>
    </w:p>
    <w:p w14:paraId="43E83BDF" w14:textId="77777777" w:rsidR="0019208F" w:rsidRDefault="00F74A66" w:rsidP="005173A1">
      <w:pPr>
        <w:spacing w:before="160" w:after="0" w:line="240" w:lineRule="auto"/>
        <w:rPr>
          <w:rStyle w:val="Heading1Char"/>
        </w:rPr>
      </w:pPr>
      <w:r w:rsidRPr="00BA1FCF">
        <w:rPr>
          <w:rStyle w:val="Heading1Char"/>
        </w:rPr>
        <w:t>Background</w:t>
      </w:r>
    </w:p>
    <w:p w14:paraId="3F4DA4A4" w14:textId="3E47100A" w:rsidR="00795BB1" w:rsidRDefault="00226DE3" w:rsidP="005173A1">
      <w:pPr>
        <w:spacing w:line="240" w:lineRule="auto"/>
      </w:pPr>
      <w:r>
        <w:t xml:space="preserve">The 2015 Montana Legislature established the Health and Economic Livelihood Partnership (HELP) Act though a collaborative effort between Department of Public </w:t>
      </w:r>
      <w:r w:rsidR="001C233E">
        <w:t xml:space="preserve">Health </w:t>
      </w:r>
      <w:r>
        <w:t xml:space="preserve">and Human Services (DPHHS) and </w:t>
      </w:r>
      <w:r w:rsidR="0022656B">
        <w:t xml:space="preserve">Montana </w:t>
      </w:r>
      <w:r>
        <w:t>Department of Labor and Industry (</w:t>
      </w:r>
      <w:r w:rsidR="0022656B">
        <w:t>M</w:t>
      </w:r>
      <w:r w:rsidR="009221E4">
        <w:t>T</w:t>
      </w:r>
      <w:r>
        <w:t>DLI) in Senate Bill 405.</w:t>
      </w:r>
      <w:r w:rsidR="00CB496B">
        <w:t xml:space="preserve">  </w:t>
      </w:r>
      <w:r w:rsidR="00C503BF">
        <w:t>The 2019 Montana Legislature extended the Medicaid expansion program in House Bill 658</w:t>
      </w:r>
      <w:r w:rsidR="004B24E6">
        <w:t xml:space="preserve"> </w:t>
      </w:r>
      <w:r w:rsidR="004B24E6" w:rsidRPr="00185CC6">
        <w:t xml:space="preserve">and the 2021 Montana Legislature extended the Medicaid expansion program in </w:t>
      </w:r>
      <w:r w:rsidR="00A203ED" w:rsidRPr="00185CC6">
        <w:t>H</w:t>
      </w:r>
      <w:r w:rsidR="004C4E29">
        <w:t xml:space="preserve">ouse Bill </w:t>
      </w:r>
      <w:r w:rsidR="00A203ED">
        <w:t>614, with</w:t>
      </w:r>
      <w:r w:rsidR="00E464FB">
        <w:t xml:space="preserve"> some </w:t>
      </w:r>
      <w:r w:rsidR="008F4699">
        <w:t>amendments</w:t>
      </w:r>
      <w:r w:rsidR="00E464FB">
        <w:t xml:space="preserve"> to service delivery</w:t>
      </w:r>
      <w:r w:rsidR="004B24E6">
        <w:t xml:space="preserve">.  </w:t>
      </w:r>
      <w:r w:rsidR="00C503BF">
        <w:t xml:space="preserve">HELP-Link is the </w:t>
      </w:r>
      <w:r w:rsidR="004A4C38">
        <w:t>M</w:t>
      </w:r>
      <w:r w:rsidR="009221E4">
        <w:t>T</w:t>
      </w:r>
      <w:r w:rsidR="001E26EE">
        <w:t>DLI-</w:t>
      </w:r>
      <w:r w:rsidR="00C503BF">
        <w:t xml:space="preserve">implemented workforce development program created to </w:t>
      </w:r>
      <w:r w:rsidR="00CD270C">
        <w:t>identify workforce development opportunities</w:t>
      </w:r>
      <w:r w:rsidR="00795BB1">
        <w:t xml:space="preserve"> focusing on specific labor force needs within the state of Montana; reduce the number of people depending on social programs, including the HELP Act; provide grants to employers who hire and train HELP-Link clients; and increase the earning capacity, economic stability, and self-sufficiency of clients so they are able to </w:t>
      </w:r>
      <w:r w:rsidR="00621E94">
        <w:t>purchase</w:t>
      </w:r>
      <w:r w:rsidR="00795BB1">
        <w:t xml:space="preserve"> their own health insurance coverage.</w:t>
      </w:r>
      <w:r w:rsidR="00C503BF">
        <w:t xml:space="preserve">  </w:t>
      </w:r>
    </w:p>
    <w:p w14:paraId="20B1FE1F" w14:textId="77777777" w:rsidR="0019208F" w:rsidRDefault="00A86AF1" w:rsidP="005173A1">
      <w:pPr>
        <w:spacing w:after="0"/>
        <w:rPr>
          <w:rStyle w:val="Heading1Char"/>
        </w:rPr>
      </w:pPr>
      <w:r w:rsidRPr="00BA1FCF">
        <w:rPr>
          <w:rStyle w:val="Heading1Char"/>
        </w:rPr>
        <w:t>Scope</w:t>
      </w:r>
    </w:p>
    <w:p w14:paraId="676EBD3B" w14:textId="5E9F7FAC" w:rsidR="00A86AF1" w:rsidRPr="00CF3575" w:rsidRDefault="00CF3575" w:rsidP="00A86AF1">
      <w:r>
        <w:t xml:space="preserve">This policy applies to all </w:t>
      </w:r>
      <w:r w:rsidR="005B2E52">
        <w:t>M</w:t>
      </w:r>
      <w:r w:rsidR="009221E4">
        <w:t>T</w:t>
      </w:r>
      <w:r w:rsidR="005B2E52">
        <w:t xml:space="preserve">DLI </w:t>
      </w:r>
      <w:r w:rsidR="00E464FB">
        <w:t>HELP-Link contractors and</w:t>
      </w:r>
      <w:r w:rsidR="00554340">
        <w:t xml:space="preserve"> </w:t>
      </w:r>
      <w:r w:rsidR="00C21529">
        <w:t>M</w:t>
      </w:r>
      <w:r w:rsidR="009221E4">
        <w:t>T</w:t>
      </w:r>
      <w:r w:rsidR="00C21529">
        <w:t>DLI</w:t>
      </w:r>
      <w:r w:rsidR="00DC10E6">
        <w:t xml:space="preserve"> Central Office staff</w:t>
      </w:r>
      <w:r>
        <w:t>. Th</w:t>
      </w:r>
      <w:r w:rsidR="00185CC6">
        <w:t>is</w:t>
      </w:r>
      <w:r>
        <w:t xml:space="preserve"> policy is effective </w:t>
      </w:r>
      <w:r w:rsidR="00CC0C4A">
        <w:t>October</w:t>
      </w:r>
      <w:r w:rsidR="00C21529">
        <w:t xml:space="preserve"> 1, 2021</w:t>
      </w:r>
      <w:r>
        <w:t>.</w:t>
      </w:r>
    </w:p>
    <w:p w14:paraId="1E5E75B3" w14:textId="77777777" w:rsidR="00CD0872" w:rsidRDefault="00CD0872" w:rsidP="00B82F45">
      <w:pPr>
        <w:pStyle w:val="Heading1"/>
      </w:pPr>
      <w:r>
        <w:t>Policy</w:t>
      </w:r>
    </w:p>
    <w:p w14:paraId="61E04826" w14:textId="645D221C" w:rsidR="00E375CE" w:rsidRDefault="00476F52" w:rsidP="005173A1">
      <w:pPr>
        <w:pStyle w:val="ListParagraph"/>
        <w:numPr>
          <w:ilvl w:val="0"/>
          <w:numId w:val="7"/>
        </w:numPr>
      </w:pPr>
      <w:r>
        <w:t xml:space="preserve">Participation in HELP-Link is </w:t>
      </w:r>
      <w:r w:rsidR="00754A78">
        <w:t>voluntary</w:t>
      </w:r>
      <w:r>
        <w:t>.</w:t>
      </w:r>
    </w:p>
    <w:p w14:paraId="19F95093" w14:textId="7EF75D87" w:rsidR="00C21529" w:rsidRDefault="009221E4" w:rsidP="005173A1">
      <w:pPr>
        <w:pStyle w:val="ListParagraph"/>
        <w:numPr>
          <w:ilvl w:val="0"/>
          <w:numId w:val="7"/>
        </w:numPr>
      </w:pPr>
      <w:r>
        <w:t>C</w:t>
      </w:r>
      <w:r w:rsidR="009B5C01">
        <w:t xml:space="preserve">lients eligible for </w:t>
      </w:r>
      <w:r w:rsidR="00E464FB">
        <w:t xml:space="preserve">HELP-Link </w:t>
      </w:r>
      <w:r w:rsidR="009B5C01">
        <w:t>enrollment must</w:t>
      </w:r>
      <w:r>
        <w:t>, at a minimum</w:t>
      </w:r>
      <w:r w:rsidR="009B5C01">
        <w:t>:</w:t>
      </w:r>
    </w:p>
    <w:p w14:paraId="2329C233" w14:textId="3B054F60" w:rsidR="002818C7" w:rsidRDefault="009B5C01" w:rsidP="009B5C01">
      <w:pPr>
        <w:pStyle w:val="ListParagraph"/>
        <w:numPr>
          <w:ilvl w:val="1"/>
          <w:numId w:val="7"/>
        </w:numPr>
      </w:pPr>
      <w:r>
        <w:t xml:space="preserve">Be willing and able to participate in </w:t>
      </w:r>
      <w:r w:rsidR="002818C7">
        <w:t xml:space="preserve">mutually agreed upon </w:t>
      </w:r>
      <w:r>
        <w:t>workforce development activities</w:t>
      </w:r>
      <w:r w:rsidR="002818C7">
        <w:t>;</w:t>
      </w:r>
    </w:p>
    <w:p w14:paraId="1B1C70F7" w14:textId="11EB392E" w:rsidR="002818C7" w:rsidRDefault="002818C7" w:rsidP="009B5C01">
      <w:pPr>
        <w:pStyle w:val="ListParagraph"/>
        <w:numPr>
          <w:ilvl w:val="1"/>
          <w:numId w:val="7"/>
        </w:numPr>
      </w:pPr>
      <w:r>
        <w:t>Be</w:t>
      </w:r>
      <w:r w:rsidR="00732AC3">
        <w:t xml:space="preserve"> employment </w:t>
      </w:r>
      <w:r>
        <w:t xml:space="preserve">eligible </w:t>
      </w:r>
      <w:r w:rsidR="00732AC3">
        <w:t>in Montana</w:t>
      </w:r>
      <w:r w:rsidR="00BC75AF">
        <w:t>; and</w:t>
      </w:r>
    </w:p>
    <w:p w14:paraId="07FD55CF" w14:textId="28E7A00D" w:rsidR="00BC75AF" w:rsidRDefault="00BC75AF" w:rsidP="009B5C01">
      <w:pPr>
        <w:pStyle w:val="ListParagraph"/>
        <w:numPr>
          <w:ilvl w:val="1"/>
          <w:numId w:val="7"/>
        </w:numPr>
      </w:pPr>
      <w:r>
        <w:t>Require HELP-Link assistance to engage in employment or training activities.</w:t>
      </w:r>
    </w:p>
    <w:p w14:paraId="4154DF85" w14:textId="57810DDE" w:rsidR="00185CC6" w:rsidRDefault="00626E45" w:rsidP="00B61A27">
      <w:pPr>
        <w:pStyle w:val="ListParagraph"/>
        <w:numPr>
          <w:ilvl w:val="0"/>
          <w:numId w:val="7"/>
        </w:numPr>
      </w:pPr>
      <w:r>
        <w:t>Once an individual is determined eligible, appropriate, and enrolled in HELP-Link, the client will remain eligible to receive HELP-Link services for twelve (12) months (month of enrollment plus 11 months), regardless of medical coverage enrollment status.</w:t>
      </w:r>
      <w:bookmarkStart w:id="0" w:name="OLE_LINK6"/>
      <w:bookmarkStart w:id="1" w:name="OLE_LINK7"/>
    </w:p>
    <w:p w14:paraId="0B58592F" w14:textId="12ACB9E6" w:rsidR="00844B80" w:rsidRDefault="00B61A27" w:rsidP="00B61A27">
      <w:pPr>
        <w:pStyle w:val="ListParagraph"/>
        <w:numPr>
          <w:ilvl w:val="0"/>
          <w:numId w:val="7"/>
        </w:numPr>
      </w:pPr>
      <w:bookmarkStart w:id="2" w:name="_Hlk29215812"/>
      <w:r>
        <w:t>M</w:t>
      </w:r>
      <w:r w:rsidR="00185CC6">
        <w:t>T</w:t>
      </w:r>
      <w:r>
        <w:t>DLI will notify DPHHS when a client has exhausted all reasonably available services.</w:t>
      </w:r>
      <w:bookmarkEnd w:id="2"/>
      <w:r>
        <w:t xml:space="preserve"> </w:t>
      </w:r>
    </w:p>
    <w:p w14:paraId="0F51A340" w14:textId="03619728" w:rsidR="0002436D" w:rsidRDefault="001F4B79" w:rsidP="001F4B79">
      <w:pPr>
        <w:pStyle w:val="ListParagraph"/>
        <w:numPr>
          <w:ilvl w:val="0"/>
          <w:numId w:val="7"/>
        </w:numPr>
      </w:pPr>
      <w:r>
        <w:t>HELP-Link funding</w:t>
      </w:r>
      <w:r w:rsidR="0002436D">
        <w:t xml:space="preserve"> can only be expended when:</w:t>
      </w:r>
    </w:p>
    <w:p w14:paraId="1284DA82" w14:textId="6F6E92D7" w:rsidR="0002436D" w:rsidRDefault="0002436D" w:rsidP="000665C8">
      <w:pPr>
        <w:pStyle w:val="ListParagraph"/>
        <w:numPr>
          <w:ilvl w:val="1"/>
          <w:numId w:val="7"/>
        </w:numPr>
      </w:pPr>
      <w:r>
        <w:t>T</w:t>
      </w:r>
      <w:r w:rsidR="001F4B79">
        <w:t xml:space="preserve">here </w:t>
      </w:r>
      <w:r w:rsidR="00080466">
        <w:t>are</w:t>
      </w:r>
      <w:r w:rsidR="001F4B79">
        <w:t xml:space="preserve"> no other </w:t>
      </w:r>
      <w:r w:rsidR="00BC75AF">
        <w:t xml:space="preserve">available </w:t>
      </w:r>
      <w:r w:rsidR="001F4B79">
        <w:t>funding source</w:t>
      </w:r>
      <w:r w:rsidR="00080466">
        <w:t>s</w:t>
      </w:r>
      <w:r w:rsidR="001F4B79">
        <w:t xml:space="preserve"> (including financial aid</w:t>
      </w:r>
      <w:r w:rsidR="009550B2">
        <w:t xml:space="preserve"> and the client’s own resources</w:t>
      </w:r>
      <w:r w:rsidR="001F4B79">
        <w:t xml:space="preserve">) and </w:t>
      </w:r>
      <w:r w:rsidR="009550B2">
        <w:t xml:space="preserve">evidence of </w:t>
      </w:r>
      <w:r w:rsidR="001F4B79">
        <w:t xml:space="preserve">such finding </w:t>
      </w:r>
      <w:r>
        <w:t>is</w:t>
      </w:r>
      <w:r w:rsidR="001F4B79">
        <w:t xml:space="preserve"> documented in the client’s file</w:t>
      </w:r>
    </w:p>
    <w:p w14:paraId="6DD85BE4" w14:textId="0C93182E" w:rsidR="009550B2" w:rsidRDefault="00185CC6" w:rsidP="00731EE1">
      <w:pPr>
        <w:pStyle w:val="ListParagraph"/>
        <w:numPr>
          <w:ilvl w:val="1"/>
          <w:numId w:val="7"/>
        </w:numPr>
      </w:pPr>
      <w:r>
        <w:t>I</w:t>
      </w:r>
      <w:r w:rsidR="0002436D">
        <w:t>n</w:t>
      </w:r>
      <w:r w:rsidR="009550B2">
        <w:t>curred during enrollment in HELP-Link</w:t>
      </w:r>
    </w:p>
    <w:p w14:paraId="19BACBD8" w14:textId="4F86F314" w:rsidR="000665C8" w:rsidRDefault="00185CC6" w:rsidP="000665C8">
      <w:pPr>
        <w:pStyle w:val="ListParagraph"/>
        <w:numPr>
          <w:ilvl w:val="1"/>
          <w:numId w:val="7"/>
        </w:numPr>
      </w:pPr>
      <w:r>
        <w:t>B</w:t>
      </w:r>
      <w:r w:rsidR="000665C8">
        <w:t xml:space="preserve">ased on the results of a financial assessment </w:t>
      </w:r>
    </w:p>
    <w:p w14:paraId="2E2ACC13" w14:textId="135214FB" w:rsidR="000665C8" w:rsidRDefault="00185CC6" w:rsidP="000665C8">
      <w:pPr>
        <w:pStyle w:val="ListParagraph"/>
        <w:numPr>
          <w:ilvl w:val="1"/>
          <w:numId w:val="7"/>
        </w:numPr>
      </w:pPr>
      <w:r>
        <w:lastRenderedPageBreak/>
        <w:t>S</w:t>
      </w:r>
      <w:r w:rsidR="0002436D">
        <w:t xml:space="preserve">upported by </w:t>
      </w:r>
      <w:r w:rsidR="000665C8">
        <w:t xml:space="preserve">the client’s employment </w:t>
      </w:r>
      <w:r w:rsidR="00E464FB">
        <w:t xml:space="preserve">and training </w:t>
      </w:r>
      <w:r w:rsidR="000665C8">
        <w:t>plan</w:t>
      </w:r>
    </w:p>
    <w:p w14:paraId="269D239A" w14:textId="3D8E28FA" w:rsidR="000665C8" w:rsidRPr="003C26F1" w:rsidRDefault="00185CC6" w:rsidP="000665C8">
      <w:pPr>
        <w:pStyle w:val="ListParagraph"/>
        <w:numPr>
          <w:ilvl w:val="1"/>
          <w:numId w:val="7"/>
        </w:numPr>
      </w:pPr>
      <w:r>
        <w:t>A</w:t>
      </w:r>
      <w:r w:rsidR="000665C8" w:rsidRPr="00D506BE">
        <w:t xml:space="preserve">pproved prior to the </w:t>
      </w:r>
      <w:r w:rsidR="000665C8">
        <w:t>client</w:t>
      </w:r>
      <w:r w:rsidR="000665C8" w:rsidRPr="00D506BE">
        <w:t xml:space="preserve"> receiving or obtaining the goods or services</w:t>
      </w:r>
      <w:r w:rsidR="000665C8">
        <w:t xml:space="preserve"> (b</w:t>
      </w:r>
      <w:r w:rsidR="000665C8" w:rsidRPr="00942AA9">
        <w:rPr>
          <w:bCs/>
        </w:rPr>
        <w:t xml:space="preserve">ackdated requests for </w:t>
      </w:r>
      <w:r w:rsidR="000665C8">
        <w:rPr>
          <w:bCs/>
        </w:rPr>
        <w:t xml:space="preserve">goods or </w:t>
      </w:r>
      <w:r w:rsidR="000665C8" w:rsidRPr="00942AA9">
        <w:rPr>
          <w:bCs/>
        </w:rPr>
        <w:t>services will not be approved</w:t>
      </w:r>
      <w:r w:rsidR="000665C8">
        <w:rPr>
          <w:bCs/>
        </w:rPr>
        <w:t>)</w:t>
      </w:r>
    </w:p>
    <w:p w14:paraId="4F7A3510" w14:textId="63FFF284" w:rsidR="000665C8" w:rsidRPr="009221E4" w:rsidRDefault="0002436D" w:rsidP="00731EE1">
      <w:pPr>
        <w:pStyle w:val="ListParagraph"/>
        <w:numPr>
          <w:ilvl w:val="1"/>
          <w:numId w:val="7"/>
        </w:numPr>
      </w:pPr>
      <w:r>
        <w:rPr>
          <w:bCs/>
        </w:rPr>
        <w:t>A</w:t>
      </w:r>
      <w:r w:rsidR="000665C8">
        <w:rPr>
          <w:bCs/>
        </w:rPr>
        <w:t>ccompanied by source documentation maintained in the client’s file (accepting a client’s self-attestation of expenses as source documentation is not allowable)</w:t>
      </w:r>
    </w:p>
    <w:p w14:paraId="4A3BAAAF" w14:textId="10DBBE16" w:rsidR="007F604A" w:rsidRDefault="00A50567" w:rsidP="00312CCD">
      <w:pPr>
        <w:pStyle w:val="ListParagraph"/>
        <w:numPr>
          <w:ilvl w:val="0"/>
          <w:numId w:val="7"/>
        </w:numPr>
      </w:pPr>
      <w:r>
        <w:t>HELP-Link</w:t>
      </w:r>
      <w:r w:rsidR="00A324FC">
        <w:t xml:space="preserve"> will only support employment and training opportunities for in-demand occupations.  In-demand occupations are</w:t>
      </w:r>
      <w:r w:rsidR="00A4062D">
        <w:t xml:space="preserve"> those</w:t>
      </w:r>
      <w:r w:rsidR="00312CCD">
        <w:t>:</w:t>
      </w:r>
    </w:p>
    <w:p w14:paraId="474BAA5E" w14:textId="77777777" w:rsidR="00314BF5" w:rsidRDefault="00A4062D" w:rsidP="00312CCD">
      <w:pPr>
        <w:pStyle w:val="ListParagraph"/>
        <w:numPr>
          <w:ilvl w:val="1"/>
          <w:numId w:val="7"/>
        </w:numPr>
      </w:pPr>
      <w:r>
        <w:t>Identified by legislature</w:t>
      </w:r>
      <w:r w:rsidR="00314BF5">
        <w:t>; OR</w:t>
      </w:r>
    </w:p>
    <w:p w14:paraId="55A3F782" w14:textId="3F067A16" w:rsidR="002241AE" w:rsidRDefault="00A4062D" w:rsidP="00731EE1">
      <w:pPr>
        <w:pStyle w:val="ListParagraph"/>
        <w:numPr>
          <w:ilvl w:val="2"/>
          <w:numId w:val="7"/>
        </w:numPr>
      </w:pPr>
      <w:r>
        <w:t>Current</w:t>
      </w:r>
      <w:r w:rsidR="002A553D">
        <w:t xml:space="preserve"> </w:t>
      </w:r>
      <w:r w:rsidR="00CA36AB">
        <w:t>c</w:t>
      </w:r>
      <w:r w:rsidR="002A553D">
        <w:t xml:space="preserve">areer paths </w:t>
      </w:r>
      <w:r>
        <w:t xml:space="preserve">supported </w:t>
      </w:r>
      <w:r w:rsidR="00CA36AB">
        <w:t xml:space="preserve">by legislature are those in healthcare </w:t>
      </w:r>
      <w:r w:rsidR="00654E25">
        <w:t>and cyber security</w:t>
      </w:r>
    </w:p>
    <w:p w14:paraId="5D69C5CF" w14:textId="0B6F8B69" w:rsidR="002A553D" w:rsidRDefault="00A4062D" w:rsidP="00A324FC">
      <w:pPr>
        <w:pStyle w:val="ListParagraph"/>
        <w:numPr>
          <w:ilvl w:val="1"/>
          <w:numId w:val="7"/>
        </w:numPr>
      </w:pPr>
      <w:r>
        <w:t xml:space="preserve">Identified by </w:t>
      </w:r>
      <w:r w:rsidR="00554340">
        <w:t>the HELP-Link contractor</w:t>
      </w:r>
      <w:r>
        <w:t xml:space="preserve"> through </w:t>
      </w:r>
      <w:r w:rsidR="002A553D">
        <w:t>a comprehensive</w:t>
      </w:r>
      <w:r>
        <w:t xml:space="preserve"> business engagement process</w:t>
      </w:r>
      <w:r w:rsidR="002A553D">
        <w:t>.  The business engagement process must detail</w:t>
      </w:r>
      <w:r w:rsidR="00E464FB">
        <w:t>, at a minimum</w:t>
      </w:r>
      <w:r w:rsidR="002A553D">
        <w:t>:</w:t>
      </w:r>
    </w:p>
    <w:p w14:paraId="4B9770D1" w14:textId="77777777" w:rsidR="002A553D" w:rsidRDefault="002A553D" w:rsidP="002A553D">
      <w:pPr>
        <w:pStyle w:val="ListParagraph"/>
        <w:numPr>
          <w:ilvl w:val="2"/>
          <w:numId w:val="7"/>
        </w:numPr>
      </w:pPr>
      <w:r>
        <w:t>Name of the local business hiring</w:t>
      </w:r>
    </w:p>
    <w:p w14:paraId="15B305E5" w14:textId="77777777" w:rsidR="002A553D" w:rsidRDefault="002A553D" w:rsidP="002A553D">
      <w:pPr>
        <w:pStyle w:val="ListParagraph"/>
        <w:numPr>
          <w:ilvl w:val="2"/>
          <w:numId w:val="7"/>
        </w:numPr>
      </w:pPr>
      <w:r>
        <w:t>Title of vacant position(s)</w:t>
      </w:r>
    </w:p>
    <w:p w14:paraId="44EE629F" w14:textId="77777777" w:rsidR="00302B60" w:rsidRDefault="00302B60" w:rsidP="00302B60">
      <w:pPr>
        <w:pStyle w:val="ListParagraph"/>
        <w:numPr>
          <w:ilvl w:val="2"/>
          <w:numId w:val="7"/>
        </w:numPr>
      </w:pPr>
      <w:r>
        <w:t>Employment details such as wages, work schedule, and benefits</w:t>
      </w:r>
    </w:p>
    <w:p w14:paraId="2E1CFE92" w14:textId="25CCC0E7" w:rsidR="005A00BB" w:rsidRDefault="00DF5D71" w:rsidP="005A00BB">
      <w:pPr>
        <w:pStyle w:val="ListParagraph"/>
        <w:numPr>
          <w:ilvl w:val="2"/>
          <w:numId w:val="7"/>
        </w:numPr>
      </w:pPr>
      <w:r>
        <w:t>S</w:t>
      </w:r>
      <w:r w:rsidR="005A00BB">
        <w:t>kill set</w:t>
      </w:r>
      <w:r>
        <w:t>s needed</w:t>
      </w:r>
      <w:r w:rsidR="005A00BB">
        <w:t xml:space="preserve"> for applicant qualification</w:t>
      </w:r>
    </w:p>
    <w:p w14:paraId="7CE1F1C4" w14:textId="19148E0B" w:rsidR="00185CC6" w:rsidRDefault="00302B60" w:rsidP="00185CC6">
      <w:pPr>
        <w:pStyle w:val="ListParagraph"/>
        <w:numPr>
          <w:ilvl w:val="2"/>
          <w:numId w:val="7"/>
        </w:numPr>
      </w:pPr>
      <w:r>
        <w:t>Documentation supporting the occupation as in-demand, as evidenced by workforce shortages (number of open positions, scarcity of potential employees with needed skill sets, or industry growth)</w:t>
      </w:r>
      <w:r w:rsidR="002A553D">
        <w:t xml:space="preserve"> </w:t>
      </w:r>
    </w:p>
    <w:p w14:paraId="6756F16F" w14:textId="0996E528" w:rsidR="005A00BB" w:rsidRDefault="005A00BB" w:rsidP="00185CC6">
      <w:pPr>
        <w:pStyle w:val="ListParagraph"/>
        <w:numPr>
          <w:ilvl w:val="0"/>
          <w:numId w:val="7"/>
        </w:numPr>
      </w:pPr>
      <w:r>
        <w:t>HELP-Link will only support employment and training opportunities for high wage occupations.  High wage occupations</w:t>
      </w:r>
      <w:r w:rsidR="00D55DD8">
        <w:t xml:space="preserve"> must</w:t>
      </w:r>
      <w:r>
        <w:t>:</w:t>
      </w:r>
    </w:p>
    <w:p w14:paraId="07CEB16A" w14:textId="3722A342" w:rsidR="005D1880" w:rsidRDefault="005D1880" w:rsidP="005D1880">
      <w:pPr>
        <w:pStyle w:val="ListParagraph"/>
        <w:numPr>
          <w:ilvl w:val="1"/>
          <w:numId w:val="7"/>
        </w:numPr>
      </w:pPr>
      <w:r>
        <w:t>Provide an opportunity to enter a career pathway that offers advancement within the career cluster leading to self-sufficient wages after more education, training, and experience; or</w:t>
      </w:r>
    </w:p>
    <w:p w14:paraId="20AE9B0C" w14:textId="47D1531F" w:rsidR="005A00BB" w:rsidRDefault="005A00BB" w:rsidP="005A00BB">
      <w:pPr>
        <w:pStyle w:val="ListParagraph"/>
        <w:numPr>
          <w:ilvl w:val="1"/>
          <w:numId w:val="7"/>
        </w:numPr>
      </w:pPr>
      <w:r>
        <w:t xml:space="preserve">Exceed 150% </w:t>
      </w:r>
      <w:r w:rsidR="00314BF5">
        <w:t>Federal Poverty Level</w:t>
      </w:r>
      <w:r>
        <w:t xml:space="preserve"> for the client’s household size</w:t>
      </w:r>
      <w:r w:rsidR="005D1880">
        <w:t>.</w:t>
      </w:r>
    </w:p>
    <w:p w14:paraId="55925B36" w14:textId="53D3DF10" w:rsidR="005A00BB" w:rsidRPr="005173A1" w:rsidRDefault="005D1880" w:rsidP="005D1880">
      <w:pPr>
        <w:pStyle w:val="ListParagraph"/>
        <w:numPr>
          <w:ilvl w:val="2"/>
          <w:numId w:val="7"/>
        </w:numPr>
      </w:pPr>
      <w:bookmarkStart w:id="3" w:name="_Hlk72148036"/>
      <w:r>
        <w:t xml:space="preserve">Household size is determined by the number of individuals financially supported by the client related by blood, marriage, or decree of court. </w:t>
      </w:r>
    </w:p>
    <w:bookmarkEnd w:id="0"/>
    <w:bookmarkEnd w:id="1"/>
    <w:bookmarkEnd w:id="3"/>
    <w:p w14:paraId="576214E6" w14:textId="2B025BE5" w:rsidR="009C7E0C" w:rsidRPr="00476F52" w:rsidRDefault="009C7E0C" w:rsidP="00B82F45">
      <w:pPr>
        <w:pStyle w:val="Heading2"/>
      </w:pPr>
      <w:r w:rsidRPr="00EB7E7B">
        <w:t>Eligibility</w:t>
      </w:r>
    </w:p>
    <w:p w14:paraId="68C89791" w14:textId="5710DE41" w:rsidR="008A01E7" w:rsidRPr="00476F52" w:rsidRDefault="00302B60" w:rsidP="008A01E7">
      <w:pPr>
        <w:pStyle w:val="ListParagraph"/>
        <w:numPr>
          <w:ilvl w:val="0"/>
          <w:numId w:val="6"/>
        </w:numPr>
      </w:pPr>
      <w:bookmarkStart w:id="4" w:name="_Hlk32412863"/>
      <w:r>
        <w:t xml:space="preserve">Medical </w:t>
      </w:r>
      <w:r w:rsidR="0094550E">
        <w:t>coverage eligibility</w:t>
      </w:r>
      <w:r w:rsidR="008A01E7">
        <w:t xml:space="preserve"> i</w:t>
      </w:r>
      <w:r w:rsidR="008A01E7" w:rsidRPr="00F05F8F">
        <w:t>s determined by the Department of Pu</w:t>
      </w:r>
      <w:r w:rsidR="008A01E7">
        <w:t>blic Health and Human Services.</w:t>
      </w:r>
    </w:p>
    <w:bookmarkEnd w:id="4"/>
    <w:p w14:paraId="62C11BDB" w14:textId="77777777" w:rsidR="00CD624A" w:rsidRDefault="008A01E7" w:rsidP="00CD624A">
      <w:pPr>
        <w:pStyle w:val="ListParagraph"/>
        <w:numPr>
          <w:ilvl w:val="0"/>
          <w:numId w:val="6"/>
        </w:numPr>
      </w:pPr>
      <w:r>
        <w:t xml:space="preserve">Only individuals currently receiving </w:t>
      </w:r>
      <w:r w:rsidR="009C7E0C">
        <w:t xml:space="preserve">Medicaid Expansion </w:t>
      </w:r>
      <w:r>
        <w:t xml:space="preserve">medical coverage </w:t>
      </w:r>
      <w:r w:rsidR="0019208F">
        <w:t xml:space="preserve">or qualifying Affordable Care Act (ACA) medical coverage </w:t>
      </w:r>
      <w:r>
        <w:t>may qualify for HELP-Link enrollment.</w:t>
      </w:r>
    </w:p>
    <w:p w14:paraId="07AB8D6E" w14:textId="43E1527C" w:rsidR="00CD624A" w:rsidRDefault="00BC75AF" w:rsidP="00CD624A">
      <w:pPr>
        <w:pStyle w:val="ListParagraph"/>
        <w:numPr>
          <w:ilvl w:val="1"/>
          <w:numId w:val="6"/>
        </w:numPr>
      </w:pPr>
      <w:r>
        <w:t xml:space="preserve">DPHHS documents approved </w:t>
      </w:r>
      <w:r w:rsidR="00465CEF">
        <w:t>HELP</w:t>
      </w:r>
      <w:r w:rsidR="00134B4F">
        <w:t>-</w:t>
      </w:r>
      <w:r w:rsidR="00465CEF">
        <w:t>Link enrollment cat</w:t>
      </w:r>
      <w:r w:rsidR="00B96AA5">
        <w:t>egories a</w:t>
      </w:r>
      <w:r>
        <w:t>s:</w:t>
      </w:r>
      <w:r w:rsidR="00B96AA5">
        <w:t xml:space="preserve"> </w:t>
      </w:r>
      <w:bookmarkStart w:id="5" w:name="_Hlk27638652"/>
      <w:r w:rsidR="00B96AA5">
        <w:t>ACA Adult,</w:t>
      </w:r>
      <w:r w:rsidR="00465CEF">
        <w:t xml:space="preserve"> ACA Adult Medicaid</w:t>
      </w:r>
      <w:r w:rsidR="00B96AA5">
        <w:t>, ACA Pregnant Woman, and ACA Parent/Specified Caretaker Relative</w:t>
      </w:r>
      <w:r w:rsidR="00465CEF">
        <w:t xml:space="preserve">. </w:t>
      </w:r>
      <w:bookmarkEnd w:id="5"/>
    </w:p>
    <w:p w14:paraId="568C1ECC" w14:textId="0824D27C" w:rsidR="00F4270B" w:rsidRPr="00CD624A" w:rsidRDefault="009221E4" w:rsidP="00CD624A">
      <w:pPr>
        <w:spacing w:after="0"/>
      </w:pPr>
      <w:r w:rsidRPr="00CD624A">
        <w:rPr>
          <w:color w:val="003E74"/>
          <w:sz w:val="24"/>
          <w:szCs w:val="24"/>
        </w:rPr>
        <w:t>Appropriateness Screening</w:t>
      </w:r>
    </w:p>
    <w:p w14:paraId="1595A430" w14:textId="2C9B69F5" w:rsidR="00626E45" w:rsidRDefault="00626E45" w:rsidP="009221E4">
      <w:pPr>
        <w:pStyle w:val="ListParagraph"/>
        <w:numPr>
          <w:ilvl w:val="0"/>
          <w:numId w:val="7"/>
        </w:numPr>
        <w:spacing w:after="0"/>
      </w:pPr>
      <w:r>
        <w:t>Appropriateness for HELP-Link is determined by the HELP-Link contractor.</w:t>
      </w:r>
    </w:p>
    <w:p w14:paraId="72CF5E4A" w14:textId="6B1C729C" w:rsidR="004A52C4" w:rsidRDefault="009221E4" w:rsidP="009221E4">
      <w:pPr>
        <w:pStyle w:val="ListParagraph"/>
        <w:numPr>
          <w:ilvl w:val="0"/>
          <w:numId w:val="7"/>
        </w:numPr>
        <w:spacing w:after="0"/>
      </w:pPr>
      <w:r>
        <w:t>HELP-Link eligible individuals must participate in various screenings before being considered for enrollment.  The following activities must occur</w:t>
      </w:r>
      <w:r w:rsidR="00BA5191">
        <w:t xml:space="preserve"> to determine appropriateness for enrollment</w:t>
      </w:r>
      <w:r>
        <w:t xml:space="preserve">: </w:t>
      </w:r>
      <w:r w:rsidR="005A7D57">
        <w:t xml:space="preserve"> </w:t>
      </w:r>
    </w:p>
    <w:p w14:paraId="26662148" w14:textId="77777777" w:rsidR="00CD624A" w:rsidRDefault="004A52C4" w:rsidP="009221E4">
      <w:pPr>
        <w:pStyle w:val="ListParagraph"/>
        <w:numPr>
          <w:ilvl w:val="0"/>
          <w:numId w:val="26"/>
        </w:numPr>
      </w:pPr>
      <w:r>
        <w:t>C</w:t>
      </w:r>
      <w:r w:rsidR="005A7D57">
        <w:t>lient intake process</w:t>
      </w:r>
      <w:r w:rsidR="009221E4">
        <w:t xml:space="preserve"> </w:t>
      </w:r>
      <w:r w:rsidR="00E375CE">
        <w:t xml:space="preserve">- </w:t>
      </w:r>
      <w:r w:rsidR="009221E4">
        <w:t>gain a thorough understanding of the client’s situation</w:t>
      </w:r>
      <w:r w:rsidR="00E375CE">
        <w:t>, challenges to employment,</w:t>
      </w:r>
      <w:r w:rsidR="009221E4">
        <w:t xml:space="preserve"> and needs</w:t>
      </w:r>
    </w:p>
    <w:p w14:paraId="15E6D077" w14:textId="0F6B6749" w:rsidR="009221E4" w:rsidRDefault="00845865" w:rsidP="009221E4">
      <w:pPr>
        <w:pStyle w:val="ListParagraph"/>
        <w:numPr>
          <w:ilvl w:val="0"/>
          <w:numId w:val="26"/>
        </w:numPr>
      </w:pPr>
      <w:r>
        <w:t>Employment/</w:t>
      </w:r>
      <w:r w:rsidR="00927AF7">
        <w:t>Career</w:t>
      </w:r>
      <w:r>
        <w:t xml:space="preserve"> Assessment</w:t>
      </w:r>
      <w:r w:rsidR="009221E4">
        <w:t xml:space="preserve">s </w:t>
      </w:r>
      <w:r w:rsidR="00E375CE">
        <w:t xml:space="preserve">- </w:t>
      </w:r>
      <w:r w:rsidR="009221E4">
        <w:t xml:space="preserve">identify client’s skills, </w:t>
      </w:r>
      <w:r w:rsidR="00E375CE">
        <w:t>strengths</w:t>
      </w:r>
      <w:r w:rsidR="009221E4">
        <w:t>, and preferences</w:t>
      </w:r>
    </w:p>
    <w:p w14:paraId="2A28CE5A" w14:textId="71FB5A46" w:rsidR="009221E4" w:rsidRDefault="007701F5" w:rsidP="009221E4">
      <w:pPr>
        <w:pStyle w:val="ListParagraph"/>
        <w:numPr>
          <w:ilvl w:val="0"/>
          <w:numId w:val="26"/>
        </w:numPr>
      </w:pPr>
      <w:r>
        <w:t xml:space="preserve">Career </w:t>
      </w:r>
      <w:r w:rsidR="0094550E">
        <w:t>Coaching</w:t>
      </w:r>
      <w:r>
        <w:t xml:space="preserve"> </w:t>
      </w:r>
      <w:r w:rsidR="0028453D">
        <w:t xml:space="preserve">– </w:t>
      </w:r>
      <w:r w:rsidR="00685DAA">
        <w:t xml:space="preserve">discuss </w:t>
      </w:r>
      <w:r w:rsidR="0028453D">
        <w:t xml:space="preserve">employment opportunities </w:t>
      </w:r>
      <w:r w:rsidR="00685DAA">
        <w:t xml:space="preserve">available in the local area supported by HELP-Link; </w:t>
      </w:r>
      <w:r w:rsidR="0028453D">
        <w:t>includ</w:t>
      </w:r>
      <w:r w:rsidR="00685DAA">
        <w:t>es</w:t>
      </w:r>
      <w:r w:rsidR="0028453D">
        <w:t xml:space="preserve"> </w:t>
      </w:r>
      <w:r w:rsidR="009221E4">
        <w:t xml:space="preserve">Labor Market Information and local industry needs  </w:t>
      </w:r>
    </w:p>
    <w:p w14:paraId="52A6968E" w14:textId="5C353EB7" w:rsidR="00685DAA" w:rsidRDefault="00685DAA" w:rsidP="009221E4">
      <w:pPr>
        <w:pStyle w:val="ListParagraph"/>
        <w:numPr>
          <w:ilvl w:val="0"/>
          <w:numId w:val="26"/>
        </w:numPr>
      </w:pPr>
      <w:r>
        <w:t xml:space="preserve">Career Exploration – learning about various occupations and their “fit”; includes research and </w:t>
      </w:r>
      <w:r w:rsidR="00DB6CEF">
        <w:t>experiential</w:t>
      </w:r>
      <w:r>
        <w:t xml:space="preserve"> learning </w:t>
      </w:r>
    </w:p>
    <w:p w14:paraId="6C233D6B" w14:textId="4052E5EF" w:rsidR="004F5362" w:rsidRDefault="004F5362" w:rsidP="009221E4">
      <w:pPr>
        <w:pStyle w:val="ListParagraph"/>
        <w:numPr>
          <w:ilvl w:val="0"/>
          <w:numId w:val="26"/>
        </w:numPr>
      </w:pPr>
      <w:r>
        <w:t>Good fit</w:t>
      </w:r>
      <w:r w:rsidR="00FB438F">
        <w:t xml:space="preserve"> career matching</w:t>
      </w:r>
      <w:r w:rsidR="009221E4">
        <w:t xml:space="preserve"> </w:t>
      </w:r>
      <w:r w:rsidR="00E375CE">
        <w:t xml:space="preserve">- </w:t>
      </w:r>
      <w:r w:rsidR="009221E4">
        <w:t xml:space="preserve">match </w:t>
      </w:r>
      <w:r w:rsidR="006D0033">
        <w:t xml:space="preserve">current, </w:t>
      </w:r>
      <w:r w:rsidR="009221E4">
        <w:t xml:space="preserve">local employment opportunities to the </w:t>
      </w:r>
      <w:r w:rsidR="008F4699">
        <w:t>client’s</w:t>
      </w:r>
      <w:r w:rsidR="009221E4">
        <w:t xml:space="preserve"> skills, </w:t>
      </w:r>
      <w:r w:rsidR="00E375CE">
        <w:t>strengths</w:t>
      </w:r>
      <w:r w:rsidR="009221E4">
        <w:t>, and preferences</w:t>
      </w:r>
    </w:p>
    <w:p w14:paraId="1A8EB10B" w14:textId="77777777" w:rsidR="00523BD0" w:rsidRDefault="004F5362" w:rsidP="00523BD0">
      <w:pPr>
        <w:pStyle w:val="ListParagraph"/>
        <w:numPr>
          <w:ilvl w:val="1"/>
          <w:numId w:val="7"/>
        </w:numPr>
      </w:pPr>
      <w:r>
        <w:t xml:space="preserve">Skill gap screening </w:t>
      </w:r>
      <w:r w:rsidR="00E375CE">
        <w:t xml:space="preserve">- </w:t>
      </w:r>
      <w:r w:rsidR="009221E4">
        <w:t xml:space="preserve">determine needed </w:t>
      </w:r>
      <w:r w:rsidR="00E375CE">
        <w:t xml:space="preserve">services and </w:t>
      </w:r>
      <w:r w:rsidR="009221E4">
        <w:t>intervention</w:t>
      </w:r>
      <w:r w:rsidR="00E375CE">
        <w:t>s</w:t>
      </w:r>
      <w:r w:rsidR="009221E4">
        <w:t xml:space="preserve"> to support the individual obtaining the skill sets needed to meet </w:t>
      </w:r>
      <w:r w:rsidR="00592DB1">
        <w:t xml:space="preserve">current, local </w:t>
      </w:r>
      <w:r w:rsidR="009221E4">
        <w:t>business needs</w:t>
      </w:r>
      <w:r w:rsidR="00523BD0" w:rsidRPr="00523BD0">
        <w:t xml:space="preserve"> </w:t>
      </w:r>
    </w:p>
    <w:p w14:paraId="1530C97A" w14:textId="3AEEE6CD" w:rsidR="009221E4" w:rsidRDefault="00523BD0" w:rsidP="00523BD0">
      <w:pPr>
        <w:pStyle w:val="ListParagraph"/>
        <w:numPr>
          <w:ilvl w:val="0"/>
          <w:numId w:val="7"/>
        </w:numPr>
      </w:pPr>
      <w:r>
        <w:t xml:space="preserve">Only individuals in need of </w:t>
      </w:r>
      <w:r w:rsidR="00080466">
        <w:t xml:space="preserve">career coaching assistance and the </w:t>
      </w:r>
      <w:r>
        <w:t xml:space="preserve">full continuum of services to explore, plan, and </w:t>
      </w:r>
      <w:r w:rsidR="000C1D66">
        <w:t xml:space="preserve">begin steps to </w:t>
      </w:r>
      <w:r>
        <w:t xml:space="preserve">reach employment goals are appropriate for HELP-Link enrollment. </w:t>
      </w:r>
    </w:p>
    <w:p w14:paraId="716F0DEB" w14:textId="66740252" w:rsidR="007701F5" w:rsidRDefault="007701F5" w:rsidP="00B82F45">
      <w:pPr>
        <w:pStyle w:val="Heading2"/>
      </w:pPr>
      <w:r>
        <w:lastRenderedPageBreak/>
        <w:t xml:space="preserve">Career </w:t>
      </w:r>
      <w:r w:rsidR="00430179">
        <w:t>Exploration</w:t>
      </w:r>
      <w:r>
        <w:t xml:space="preserve"> Assistance</w:t>
      </w:r>
    </w:p>
    <w:p w14:paraId="3EAE5897" w14:textId="1897293D" w:rsidR="007701F5" w:rsidRDefault="00E822E1" w:rsidP="007701F5">
      <w:pPr>
        <w:pStyle w:val="ListParagraph"/>
        <w:numPr>
          <w:ilvl w:val="0"/>
          <w:numId w:val="34"/>
        </w:numPr>
      </w:pPr>
      <w:r>
        <w:t xml:space="preserve">Career </w:t>
      </w:r>
      <w:r w:rsidR="00430179">
        <w:t>exploration</w:t>
      </w:r>
      <w:r>
        <w:t xml:space="preserve"> assistance</w:t>
      </w:r>
      <w:r w:rsidR="007F70D6">
        <w:t xml:space="preserve"> may</w:t>
      </w:r>
      <w:r>
        <w:t xml:space="preserve"> </w:t>
      </w:r>
      <w:bookmarkStart w:id="6" w:name="_Hlk74136447"/>
      <w:r>
        <w:t xml:space="preserve">support career </w:t>
      </w:r>
      <w:r w:rsidR="00430179">
        <w:t>exploration</w:t>
      </w:r>
      <w:r>
        <w:t xml:space="preserve"> activities </w:t>
      </w:r>
      <w:r w:rsidR="000625A6">
        <w:t>intended to</w:t>
      </w:r>
      <w:r>
        <w:t xml:space="preserve"> </w:t>
      </w:r>
      <w:r w:rsidR="007F70D6">
        <w:t xml:space="preserve">help </w:t>
      </w:r>
      <w:r>
        <w:t>determine appropriateness for HELP-Link enrollment</w:t>
      </w:r>
      <w:r w:rsidR="006974E8">
        <w:t xml:space="preserve"> </w:t>
      </w:r>
      <w:r w:rsidR="007F70D6">
        <w:t>and development of a suitable employment and training plan</w:t>
      </w:r>
      <w:r w:rsidR="00DD1C6E">
        <w:t>.</w:t>
      </w:r>
      <w:bookmarkEnd w:id="6"/>
    </w:p>
    <w:p w14:paraId="1E8E6217" w14:textId="007201FE" w:rsidR="00DD1C6E" w:rsidRDefault="00DD1C6E" w:rsidP="007F70D6">
      <w:pPr>
        <w:pStyle w:val="ListParagraph"/>
        <w:numPr>
          <w:ilvl w:val="0"/>
          <w:numId w:val="34"/>
        </w:numPr>
      </w:pPr>
      <w:r>
        <w:t xml:space="preserve">Career </w:t>
      </w:r>
      <w:r w:rsidR="00430179">
        <w:t>exploration</w:t>
      </w:r>
      <w:r>
        <w:t xml:space="preserve"> assistance</w:t>
      </w:r>
      <w:r w:rsidR="007F70D6">
        <w:t xml:space="preserve"> is limited to $250 and </w:t>
      </w:r>
      <w:r>
        <w:t>must follow HELP-Link supportive service guidelines</w:t>
      </w:r>
      <w:r w:rsidR="007F70D6">
        <w:t>.</w:t>
      </w:r>
    </w:p>
    <w:p w14:paraId="05D3AD22" w14:textId="77777777" w:rsidR="00080466" w:rsidRPr="00731EE1" w:rsidRDefault="00080466" w:rsidP="00080466">
      <w:pPr>
        <w:spacing w:after="0"/>
        <w:rPr>
          <w:color w:val="003E74"/>
          <w:sz w:val="24"/>
          <w:szCs w:val="24"/>
        </w:rPr>
      </w:pPr>
      <w:r w:rsidRPr="00731EE1">
        <w:rPr>
          <w:color w:val="003E74"/>
          <w:sz w:val="24"/>
          <w:szCs w:val="24"/>
        </w:rPr>
        <w:t>Employment and Training Plan</w:t>
      </w:r>
    </w:p>
    <w:p w14:paraId="24A59698" w14:textId="765E5B3C" w:rsidR="00080466" w:rsidRDefault="00735FE7" w:rsidP="00080466">
      <w:pPr>
        <w:pStyle w:val="ListParagraph"/>
        <w:numPr>
          <w:ilvl w:val="0"/>
          <w:numId w:val="16"/>
        </w:numPr>
      </w:pPr>
      <w:r>
        <w:t>HELP-Link requires development of a suitable e</w:t>
      </w:r>
      <w:r w:rsidR="004E3CF5">
        <w:t xml:space="preserve">mployment and </w:t>
      </w:r>
      <w:r>
        <w:t>t</w:t>
      </w:r>
      <w:r w:rsidR="004E3CF5">
        <w:t xml:space="preserve">raining </w:t>
      </w:r>
      <w:r>
        <w:t>p</w:t>
      </w:r>
      <w:r w:rsidR="004E3CF5">
        <w:t>lan</w:t>
      </w:r>
      <w:r>
        <w:t>.  Suitable plans:</w:t>
      </w:r>
    </w:p>
    <w:p w14:paraId="7F8F0341" w14:textId="6026BB4B" w:rsidR="00080466" w:rsidRDefault="004E3CF5" w:rsidP="00080466">
      <w:pPr>
        <w:pStyle w:val="ListParagraph"/>
        <w:numPr>
          <w:ilvl w:val="1"/>
          <w:numId w:val="16"/>
        </w:numPr>
      </w:pPr>
      <w:r>
        <w:t>Require an employmen</w:t>
      </w:r>
      <w:r w:rsidR="00735FE7">
        <w:t>t</w:t>
      </w:r>
      <w:r>
        <w:t xml:space="preserve"> goal targeted at </w:t>
      </w:r>
      <w:r w:rsidR="00080466">
        <w:t>in-demand and high wage career options available in the client’s community</w:t>
      </w:r>
      <w:r>
        <w:t>;</w:t>
      </w:r>
      <w:r w:rsidR="00774A71">
        <w:t xml:space="preserve"> </w:t>
      </w:r>
      <w:r w:rsidR="00301B42">
        <w:t>and</w:t>
      </w:r>
    </w:p>
    <w:p w14:paraId="2C7CE41A" w14:textId="5ED40288" w:rsidR="00080466" w:rsidRDefault="00735FE7" w:rsidP="00080466">
      <w:pPr>
        <w:pStyle w:val="ListParagraph"/>
        <w:numPr>
          <w:ilvl w:val="1"/>
          <w:numId w:val="16"/>
        </w:numPr>
      </w:pPr>
      <w:r>
        <w:t>I</w:t>
      </w:r>
      <w:r w:rsidR="00080466">
        <w:t xml:space="preserve">dentify all necessary services and assistance needed to </w:t>
      </w:r>
      <w:r w:rsidR="007F70D6">
        <w:t>achieve</w:t>
      </w:r>
      <w:r w:rsidR="00080466">
        <w:t xml:space="preserve"> the </w:t>
      </w:r>
      <w:r w:rsidR="007F70D6">
        <w:t>HELP-Link supported</w:t>
      </w:r>
      <w:r w:rsidR="00080466">
        <w:t xml:space="preserve"> career path and employment goal</w:t>
      </w:r>
      <w:r w:rsidR="00301B42">
        <w:t>.</w:t>
      </w:r>
      <w:r w:rsidR="00774A71">
        <w:t xml:space="preserve"> </w:t>
      </w:r>
    </w:p>
    <w:p w14:paraId="20950CA9" w14:textId="5A532D01" w:rsidR="00301B42" w:rsidRDefault="00774A71" w:rsidP="00301B42">
      <w:pPr>
        <w:pStyle w:val="ListParagraph"/>
        <w:numPr>
          <w:ilvl w:val="2"/>
          <w:numId w:val="16"/>
        </w:numPr>
      </w:pPr>
      <w:r>
        <w:t xml:space="preserve">Justification </w:t>
      </w:r>
      <w:r w:rsidR="00080466">
        <w:t xml:space="preserve">the client </w:t>
      </w:r>
      <w:r w:rsidR="00301B42">
        <w:t>requires</w:t>
      </w:r>
      <w:r w:rsidR="00080466">
        <w:t xml:space="preserve"> HELP-Link assistan</w:t>
      </w:r>
      <w:r w:rsidR="00735FE7">
        <w:t>ce</w:t>
      </w:r>
      <w:r w:rsidR="00301B42">
        <w:t xml:space="preserve"> must be kept in the client file</w:t>
      </w:r>
      <w:r w:rsidR="00735FE7">
        <w:t xml:space="preserve"> </w:t>
      </w:r>
      <w:r w:rsidR="00301B42">
        <w:t>(</w:t>
      </w:r>
      <w:r>
        <w:t>i.e. the client</w:t>
      </w:r>
      <w:r w:rsidR="00735FE7">
        <w:t xml:space="preserve"> has not gained suitable employment </w:t>
      </w:r>
      <w:r w:rsidR="00301B42">
        <w:t>or</w:t>
      </w:r>
      <w:r w:rsidR="00735FE7">
        <w:t xml:space="preserve"> began education/training</w:t>
      </w:r>
      <w:r w:rsidR="00301B42">
        <w:t xml:space="preserve"> without placement assistance by a career coach).</w:t>
      </w:r>
    </w:p>
    <w:p w14:paraId="2001A26A" w14:textId="77777777" w:rsidR="00080466" w:rsidRPr="005D488A" w:rsidRDefault="00080466" w:rsidP="00080466">
      <w:pPr>
        <w:pStyle w:val="Heading2"/>
      </w:pPr>
      <w:r w:rsidRPr="005D488A">
        <w:t>Financial Literacy Services</w:t>
      </w:r>
    </w:p>
    <w:p w14:paraId="79C08CC1" w14:textId="6880C119" w:rsidR="00080466" w:rsidRDefault="00080466" w:rsidP="00080466">
      <w:pPr>
        <w:pStyle w:val="ListParagraph"/>
        <w:numPr>
          <w:ilvl w:val="0"/>
          <w:numId w:val="31"/>
        </w:numPr>
        <w:spacing w:after="0"/>
      </w:pPr>
      <w:r>
        <w:t>All enrolled HELP-Link clients must be in compliance with financial literacy requirements to be eligible for HELP-Link funded services and supports.  Clients receiving Diversion Assistance</w:t>
      </w:r>
      <w:r w:rsidR="007F1AFE">
        <w:t>, Training Support Scholarships</w:t>
      </w:r>
      <w:r>
        <w:t xml:space="preserve"> or Workforce Development Grant assistance are not required to comply with financial literacy requirements but may opt to participate.  </w:t>
      </w:r>
    </w:p>
    <w:p w14:paraId="6AE4B68E" w14:textId="77777777" w:rsidR="00080466" w:rsidRDefault="00080466" w:rsidP="00080466">
      <w:pPr>
        <w:pStyle w:val="ListParagraph"/>
        <w:numPr>
          <w:ilvl w:val="0"/>
          <w:numId w:val="31"/>
        </w:numPr>
      </w:pPr>
      <w:r>
        <w:t>Compliance includes participation in:</w:t>
      </w:r>
    </w:p>
    <w:p w14:paraId="633C5BE5" w14:textId="77777777" w:rsidR="00080466" w:rsidRDefault="00080466" w:rsidP="00080466">
      <w:pPr>
        <w:pStyle w:val="ListParagraph"/>
        <w:numPr>
          <w:ilvl w:val="1"/>
          <w:numId w:val="31"/>
        </w:numPr>
      </w:pPr>
      <w:r>
        <w:t>Intake session and setting an action plan</w:t>
      </w:r>
    </w:p>
    <w:p w14:paraId="1D9E5934" w14:textId="77777777" w:rsidR="00080466" w:rsidRDefault="00080466" w:rsidP="00080466">
      <w:pPr>
        <w:pStyle w:val="ListParagraph"/>
        <w:numPr>
          <w:ilvl w:val="1"/>
          <w:numId w:val="31"/>
        </w:numPr>
      </w:pPr>
      <w:r>
        <w:t>Working toward action plan goals</w:t>
      </w:r>
    </w:p>
    <w:p w14:paraId="5ED0E0C7" w14:textId="77777777" w:rsidR="00080466" w:rsidRDefault="00080466" w:rsidP="00080466">
      <w:pPr>
        <w:pStyle w:val="ListParagraph"/>
        <w:numPr>
          <w:ilvl w:val="1"/>
          <w:numId w:val="31"/>
        </w:numPr>
      </w:pPr>
      <w:r>
        <w:t>Final session and exit from services</w:t>
      </w:r>
    </w:p>
    <w:p w14:paraId="0E4C17AD" w14:textId="77777777" w:rsidR="00080466" w:rsidRDefault="00080466" w:rsidP="00080466">
      <w:pPr>
        <w:pStyle w:val="ListParagraph"/>
        <w:numPr>
          <w:ilvl w:val="0"/>
          <w:numId w:val="31"/>
        </w:numPr>
      </w:pPr>
      <w:r>
        <w:t>Clients are eligible for financial incentives (up to $100) after completion of identified Financial Literacy activities.  Incentive activities include:</w:t>
      </w:r>
    </w:p>
    <w:p w14:paraId="1834F21C" w14:textId="77777777" w:rsidR="00080466" w:rsidRDefault="00080466" w:rsidP="00080466">
      <w:pPr>
        <w:pStyle w:val="ListParagraph"/>
        <w:numPr>
          <w:ilvl w:val="1"/>
          <w:numId w:val="31"/>
        </w:numPr>
      </w:pPr>
      <w:r>
        <w:t>Intake session ($25)</w:t>
      </w:r>
    </w:p>
    <w:p w14:paraId="4238E0BB" w14:textId="77777777" w:rsidR="00080466" w:rsidRDefault="00080466" w:rsidP="00080466">
      <w:pPr>
        <w:pStyle w:val="ListParagraph"/>
        <w:numPr>
          <w:ilvl w:val="1"/>
          <w:numId w:val="31"/>
        </w:numPr>
      </w:pPr>
      <w:r>
        <w:t>Completed Budget and Credit Report ($25)</w:t>
      </w:r>
    </w:p>
    <w:p w14:paraId="1B12477E" w14:textId="77777777" w:rsidR="00080466" w:rsidRDefault="00080466" w:rsidP="00080466">
      <w:pPr>
        <w:pStyle w:val="ListParagraph"/>
        <w:numPr>
          <w:ilvl w:val="1"/>
          <w:numId w:val="31"/>
        </w:numPr>
      </w:pPr>
      <w:r>
        <w:t>Minimum Four (4) Completed Activities ($25)</w:t>
      </w:r>
    </w:p>
    <w:p w14:paraId="274D7348" w14:textId="77777777" w:rsidR="00080466" w:rsidRDefault="00080466" w:rsidP="00080466">
      <w:pPr>
        <w:pStyle w:val="ListParagraph"/>
        <w:numPr>
          <w:ilvl w:val="1"/>
          <w:numId w:val="31"/>
        </w:numPr>
      </w:pPr>
      <w:r>
        <w:t>Exit Session ($25)</w:t>
      </w:r>
    </w:p>
    <w:p w14:paraId="614C6812" w14:textId="77777777" w:rsidR="00080466" w:rsidRDefault="00080466" w:rsidP="00080466">
      <w:pPr>
        <w:pStyle w:val="ListParagraph"/>
        <w:numPr>
          <w:ilvl w:val="0"/>
          <w:numId w:val="31"/>
        </w:numPr>
      </w:pPr>
      <w:r>
        <w:t xml:space="preserve">Clients are eligible for financial assistance (phone and internet access only) to support participation in Financial Literacy services.  Vendor payments are required.  </w:t>
      </w:r>
      <w:bookmarkStart w:id="7" w:name="_Hlk32579876"/>
      <w:r>
        <w:t xml:space="preserve">  </w:t>
      </w:r>
      <w:bookmarkEnd w:id="7"/>
    </w:p>
    <w:p w14:paraId="22D370C0" w14:textId="7B907F42" w:rsidR="00250A56" w:rsidRPr="009A2F1F" w:rsidRDefault="0019208F" w:rsidP="00B82F45">
      <w:pPr>
        <w:pStyle w:val="Heading2"/>
      </w:pPr>
      <w:r w:rsidRPr="00E92587">
        <w:t>Enrollment</w:t>
      </w:r>
    </w:p>
    <w:p w14:paraId="2499463A" w14:textId="76876704" w:rsidR="004E0F01" w:rsidRDefault="008A2384" w:rsidP="00141710">
      <w:pPr>
        <w:pStyle w:val="ListParagraph"/>
        <w:numPr>
          <w:ilvl w:val="0"/>
          <w:numId w:val="16"/>
        </w:numPr>
      </w:pPr>
      <w:bookmarkStart w:id="8" w:name="_Hlk32476931"/>
      <w:r>
        <w:t>HELP-Link e</w:t>
      </w:r>
      <w:r w:rsidR="00141710">
        <w:t>nrollment requires completion of</w:t>
      </w:r>
      <w:r w:rsidR="004E22A9">
        <w:t>:</w:t>
      </w:r>
      <w:r w:rsidR="004E0F01">
        <w:t xml:space="preserve"> </w:t>
      </w:r>
    </w:p>
    <w:p w14:paraId="2727D5B2" w14:textId="73C718AB" w:rsidR="004E0F01" w:rsidRPr="00151504" w:rsidRDefault="00E375CE" w:rsidP="004E0F01">
      <w:pPr>
        <w:pStyle w:val="ListParagraph"/>
        <w:numPr>
          <w:ilvl w:val="1"/>
          <w:numId w:val="16"/>
        </w:numPr>
        <w:rPr>
          <w:b/>
        </w:rPr>
      </w:pPr>
      <w:r>
        <w:t>Data entry and e</w:t>
      </w:r>
      <w:r w:rsidR="004E0F01">
        <w:t xml:space="preserve">nrollment in the </w:t>
      </w:r>
      <w:r w:rsidR="00EC0CD6">
        <w:t>management information</w:t>
      </w:r>
      <w:r w:rsidR="004E0F01">
        <w:t xml:space="preserve"> system</w:t>
      </w:r>
    </w:p>
    <w:p w14:paraId="380A5268" w14:textId="7AAA20CA" w:rsidR="00151504" w:rsidRPr="002241C2" w:rsidRDefault="00151504" w:rsidP="004E0F01">
      <w:pPr>
        <w:pStyle w:val="ListParagraph"/>
        <w:numPr>
          <w:ilvl w:val="1"/>
          <w:numId w:val="16"/>
        </w:numPr>
        <w:rPr>
          <w:b/>
        </w:rPr>
      </w:pPr>
      <w:r>
        <w:t>Documented verification of HELP-Link eligibility</w:t>
      </w:r>
    </w:p>
    <w:p w14:paraId="6B70DC7D" w14:textId="1D6F64C7" w:rsidR="00141710" w:rsidRDefault="004E0F01" w:rsidP="00951EFB">
      <w:pPr>
        <w:pStyle w:val="ListParagraph"/>
        <w:numPr>
          <w:ilvl w:val="1"/>
          <w:numId w:val="16"/>
        </w:numPr>
      </w:pPr>
      <w:r>
        <w:t>Completion of a</w:t>
      </w:r>
      <w:r w:rsidR="00080466">
        <w:t xml:space="preserve"> suitable </w:t>
      </w:r>
      <w:r>
        <w:t xml:space="preserve">employment </w:t>
      </w:r>
      <w:r w:rsidR="00FB438F">
        <w:t xml:space="preserve">and training </w:t>
      </w:r>
      <w:r>
        <w:t>plan - signed by the client</w:t>
      </w:r>
    </w:p>
    <w:p w14:paraId="250C4AAB" w14:textId="62CD5662" w:rsidR="002877F4" w:rsidRDefault="0002282E" w:rsidP="00B82F45">
      <w:pPr>
        <w:pStyle w:val="ListParagraph"/>
        <w:numPr>
          <w:ilvl w:val="1"/>
          <w:numId w:val="16"/>
        </w:numPr>
      </w:pPr>
      <w:r>
        <w:t xml:space="preserve">Referral to financial literacy </w:t>
      </w:r>
      <w:r w:rsidR="009221E4">
        <w:t>services</w:t>
      </w:r>
    </w:p>
    <w:bookmarkEnd w:id="8"/>
    <w:p w14:paraId="32531AE9" w14:textId="71559D3F" w:rsidR="009221E4" w:rsidRDefault="009221E4" w:rsidP="00B82F45">
      <w:pPr>
        <w:pStyle w:val="Heading2"/>
      </w:pPr>
      <w:r>
        <w:t xml:space="preserve">Ongoing </w:t>
      </w:r>
      <w:r w:rsidRPr="00D2744B">
        <w:t>Appointments</w:t>
      </w:r>
    </w:p>
    <w:p w14:paraId="1767A57D" w14:textId="0C791826" w:rsidR="005D488A" w:rsidRDefault="009221E4" w:rsidP="00F37B09">
      <w:pPr>
        <w:pStyle w:val="ListParagraph"/>
        <w:numPr>
          <w:ilvl w:val="0"/>
          <w:numId w:val="16"/>
        </w:numPr>
      </w:pPr>
      <w:r>
        <w:t xml:space="preserve">Enrolled HELP-Link clients must </w:t>
      </w:r>
      <w:r w:rsidR="00F37B09">
        <w:t>participate in</w:t>
      </w:r>
      <w:r>
        <w:t xml:space="preserve"> frequent and regular appointments </w:t>
      </w:r>
      <w:r w:rsidR="00330B25">
        <w:t>with a career coach to</w:t>
      </w:r>
      <w:r>
        <w:t xml:space="preserve"> track and document program progress.  </w:t>
      </w:r>
    </w:p>
    <w:p w14:paraId="59E85223" w14:textId="587073D1" w:rsidR="0019208F" w:rsidRPr="00187947" w:rsidRDefault="0019208F" w:rsidP="007B5366">
      <w:pPr>
        <w:spacing w:after="0"/>
        <w:rPr>
          <w:color w:val="003E74"/>
          <w:sz w:val="24"/>
          <w:szCs w:val="24"/>
        </w:rPr>
      </w:pPr>
      <w:r w:rsidRPr="00187947">
        <w:rPr>
          <w:color w:val="003E74"/>
          <w:sz w:val="24"/>
          <w:szCs w:val="24"/>
        </w:rPr>
        <w:t xml:space="preserve">HELP-Link </w:t>
      </w:r>
      <w:r w:rsidR="0072396A">
        <w:rPr>
          <w:color w:val="003E74"/>
          <w:sz w:val="24"/>
          <w:szCs w:val="24"/>
        </w:rPr>
        <w:t xml:space="preserve">Closure and </w:t>
      </w:r>
      <w:r w:rsidRPr="00187947">
        <w:rPr>
          <w:color w:val="003E74"/>
          <w:sz w:val="24"/>
          <w:szCs w:val="24"/>
        </w:rPr>
        <w:t xml:space="preserve">Follow-Up </w:t>
      </w:r>
    </w:p>
    <w:p w14:paraId="57D1F891" w14:textId="77777777" w:rsidR="00F634C9" w:rsidRDefault="00F634C9" w:rsidP="00F634C9">
      <w:pPr>
        <w:pStyle w:val="ListParagraph"/>
        <w:numPr>
          <w:ilvl w:val="0"/>
          <w:numId w:val="19"/>
        </w:numPr>
      </w:pPr>
      <w:r>
        <w:t xml:space="preserve">Enrollment will close when participation in employment and training plan services ends.  </w:t>
      </w:r>
    </w:p>
    <w:p w14:paraId="266F0CC5" w14:textId="77777777" w:rsidR="0072396A" w:rsidRDefault="00E1686F" w:rsidP="007B5366">
      <w:pPr>
        <w:pStyle w:val="ListParagraph"/>
        <w:numPr>
          <w:ilvl w:val="0"/>
          <w:numId w:val="19"/>
        </w:numPr>
        <w:spacing w:after="0"/>
      </w:pPr>
      <w:r>
        <w:t xml:space="preserve">Employed HELP-Link clients are eligible </w:t>
      </w:r>
      <w:r w:rsidR="00FF6977">
        <w:t>for</w:t>
      </w:r>
      <w:r>
        <w:t xml:space="preserve"> </w:t>
      </w:r>
      <w:r w:rsidR="00EF09F8">
        <w:t>transition to</w:t>
      </w:r>
      <w:r>
        <w:t xml:space="preserve"> HELP-Link Follow-up when they</w:t>
      </w:r>
      <w:r w:rsidR="00E87AFA">
        <w:t xml:space="preserve"> </w:t>
      </w:r>
      <w:r w:rsidR="007957C5">
        <w:t>complete</w:t>
      </w:r>
      <w:r w:rsidR="009E6650">
        <w:t xml:space="preserve"> employment and training plan services </w:t>
      </w:r>
      <w:r w:rsidR="00C6556C">
        <w:t>and financial literacy requirements</w:t>
      </w:r>
      <w:r>
        <w:t>.</w:t>
      </w:r>
      <w:r w:rsidR="00EF09F8">
        <w:t xml:space="preserve">  </w:t>
      </w:r>
    </w:p>
    <w:p w14:paraId="63493C3A" w14:textId="77777777" w:rsidR="009B48D1" w:rsidRDefault="00EF09F8" w:rsidP="0072396A">
      <w:pPr>
        <w:pStyle w:val="ListParagraph"/>
        <w:numPr>
          <w:ilvl w:val="1"/>
          <w:numId w:val="19"/>
        </w:numPr>
      </w:pPr>
      <w:r>
        <w:t xml:space="preserve">Unemployed HELP-Link clients </w:t>
      </w:r>
      <w:r w:rsidR="00C6556C">
        <w:t xml:space="preserve">and clients who have not completed financial literacy requirements </w:t>
      </w:r>
      <w:r w:rsidR="0072396A">
        <w:t xml:space="preserve">(or are non-compliant) </w:t>
      </w:r>
      <w:r w:rsidR="004C74BF">
        <w:t xml:space="preserve">are not eligible to </w:t>
      </w:r>
      <w:r w:rsidR="00514233">
        <w:t>transition to</w:t>
      </w:r>
      <w:r>
        <w:t xml:space="preserve"> HELP-Link Follow-up</w:t>
      </w:r>
      <w:r w:rsidR="0072396A">
        <w:t>.</w:t>
      </w:r>
    </w:p>
    <w:p w14:paraId="66E05BC7" w14:textId="6C53BB66" w:rsidR="0072396A" w:rsidRDefault="0072396A" w:rsidP="0072396A">
      <w:pPr>
        <w:pStyle w:val="ListParagraph"/>
        <w:numPr>
          <w:ilvl w:val="1"/>
          <w:numId w:val="19"/>
        </w:numPr>
      </w:pPr>
      <w:r>
        <w:lastRenderedPageBreak/>
        <w:t xml:space="preserve">Diversion Assistance, Training Support </w:t>
      </w:r>
      <w:r w:rsidR="009B48D1">
        <w:t>Scholarship</w:t>
      </w:r>
      <w:r>
        <w:t xml:space="preserve">, and Workforce Development Grant clients are not eligible for HELP-Link Follow-up.  </w:t>
      </w:r>
    </w:p>
    <w:p w14:paraId="0FEA1F1F" w14:textId="01745967" w:rsidR="003761F6" w:rsidRDefault="00471F6C" w:rsidP="00B91BE8">
      <w:pPr>
        <w:pStyle w:val="ListParagraph"/>
        <w:numPr>
          <w:ilvl w:val="0"/>
          <w:numId w:val="19"/>
        </w:numPr>
      </w:pPr>
      <w:r>
        <w:t xml:space="preserve">HELP-Link </w:t>
      </w:r>
      <w:r w:rsidR="003761F6">
        <w:t xml:space="preserve">Follow-up may continue </w:t>
      </w:r>
      <w:r w:rsidR="00EF09F8">
        <w:t xml:space="preserve">for up to </w:t>
      </w:r>
      <w:r w:rsidR="00AB50AB">
        <w:t>twelve (12) months</w:t>
      </w:r>
      <w:r w:rsidR="000665C8">
        <w:t xml:space="preserve"> (month of transition plus 11 months)</w:t>
      </w:r>
      <w:r w:rsidR="00EF09F8">
        <w:t xml:space="preserve">.  </w:t>
      </w:r>
      <w:r>
        <w:t xml:space="preserve">HELP-Link </w:t>
      </w:r>
      <w:r w:rsidR="00EF09F8">
        <w:t xml:space="preserve">Follow-up </w:t>
      </w:r>
      <w:r w:rsidR="00554B08">
        <w:t>will</w:t>
      </w:r>
      <w:r w:rsidR="00EF09F8">
        <w:t xml:space="preserve"> end sooner if the client i</w:t>
      </w:r>
      <w:r w:rsidR="00554B08">
        <w:t>s no longer employed or per client request.  T</w:t>
      </w:r>
      <w:r w:rsidR="00EF09F8">
        <w:t xml:space="preserve">he client may opt to re-enroll in HELP-Link at </w:t>
      </w:r>
      <w:r w:rsidR="008F4699">
        <w:t>any time</w:t>
      </w:r>
      <w:r w:rsidR="00554B08">
        <w:t xml:space="preserve"> during HELP-Link </w:t>
      </w:r>
      <w:r w:rsidR="008F4699">
        <w:t>Follow-up but</w:t>
      </w:r>
      <w:r w:rsidR="000665C8">
        <w:t xml:space="preserve"> must meet</w:t>
      </w:r>
      <w:r w:rsidR="00554B08">
        <w:t xml:space="preserve"> </w:t>
      </w:r>
      <w:r w:rsidR="00BB3C0B">
        <w:t xml:space="preserve">eligibility and </w:t>
      </w:r>
      <w:r w:rsidR="00554B08">
        <w:t>appropriate</w:t>
      </w:r>
      <w:r w:rsidR="000665C8">
        <w:t>ness</w:t>
      </w:r>
      <w:r w:rsidR="00554B08">
        <w:t xml:space="preserve"> </w:t>
      </w:r>
      <w:r w:rsidR="00BB3C0B">
        <w:t>criteria</w:t>
      </w:r>
      <w:r w:rsidR="00EF09F8">
        <w:t xml:space="preserve">. </w:t>
      </w:r>
    </w:p>
    <w:p w14:paraId="23B8A21C" w14:textId="3A1E1CF9" w:rsidR="00D629AE" w:rsidRPr="00E92587" w:rsidRDefault="00D629AE" w:rsidP="005173A1">
      <w:pPr>
        <w:pStyle w:val="ListParagraph"/>
        <w:numPr>
          <w:ilvl w:val="0"/>
          <w:numId w:val="19"/>
        </w:numPr>
      </w:pPr>
      <w:r>
        <w:t xml:space="preserve">Clients are eligible for </w:t>
      </w:r>
      <w:r w:rsidR="00E22B9E">
        <w:t>Work Support Payments</w:t>
      </w:r>
      <w:r>
        <w:t xml:space="preserve"> </w:t>
      </w:r>
      <w:r w:rsidR="000665C8">
        <w:t>after 30 days in</w:t>
      </w:r>
      <w:r>
        <w:t xml:space="preserve"> HELP-Link </w:t>
      </w:r>
      <w:r w:rsidR="00471F6C">
        <w:t>F</w:t>
      </w:r>
      <w:r>
        <w:t>ollow-up</w:t>
      </w:r>
      <w:r w:rsidR="00E22B9E">
        <w:t>.</w:t>
      </w:r>
      <w:r>
        <w:t xml:space="preserve"> </w:t>
      </w:r>
    </w:p>
    <w:p w14:paraId="7D2FC856" w14:textId="77777777" w:rsidR="00D94C2C" w:rsidRPr="002877F4" w:rsidRDefault="006A3722" w:rsidP="002877F4">
      <w:pPr>
        <w:pStyle w:val="Heading4"/>
        <w:ind w:left="360"/>
      </w:pPr>
      <w:r w:rsidRPr="002877F4">
        <w:t>Work Support</w:t>
      </w:r>
      <w:r w:rsidR="0019208F" w:rsidRPr="002877F4">
        <w:t xml:space="preserve"> Payments</w:t>
      </w:r>
    </w:p>
    <w:p w14:paraId="13D5B33F" w14:textId="44C03BE5" w:rsidR="00F634C9" w:rsidRDefault="00F634C9" w:rsidP="00F634C9">
      <w:pPr>
        <w:pStyle w:val="ListParagraph"/>
        <w:numPr>
          <w:ilvl w:val="0"/>
          <w:numId w:val="18"/>
        </w:numPr>
      </w:pPr>
      <w:r>
        <w:t>Work support payments:</w:t>
      </w:r>
    </w:p>
    <w:p w14:paraId="6416C6D1" w14:textId="460F0B42" w:rsidR="00F634C9" w:rsidRDefault="00F634C9" w:rsidP="00F634C9">
      <w:pPr>
        <w:pStyle w:val="ListParagraph"/>
        <w:numPr>
          <w:ilvl w:val="1"/>
          <w:numId w:val="18"/>
        </w:numPr>
      </w:pPr>
      <w:r>
        <w:t>are intended to enable a client to maintain employment</w:t>
      </w:r>
    </w:p>
    <w:p w14:paraId="0396D0E5" w14:textId="4D5DA041" w:rsidR="00F634C9" w:rsidRDefault="00F634C9" w:rsidP="00F634C9">
      <w:pPr>
        <w:pStyle w:val="ListParagraph"/>
        <w:numPr>
          <w:ilvl w:val="1"/>
          <w:numId w:val="18"/>
        </w:numPr>
      </w:pPr>
      <w:r>
        <w:t>are only allowable for expenses incurred during HELP-Link Follow-up</w:t>
      </w:r>
    </w:p>
    <w:p w14:paraId="24E8662B" w14:textId="7A399058" w:rsidR="00F634C9" w:rsidRDefault="00F634C9" w:rsidP="00F634C9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must be paid directly to a vendor</w:t>
      </w:r>
      <w:r w:rsidR="009B48D1">
        <w:t xml:space="preserve"> (a</w:t>
      </w:r>
      <w:r>
        <w:t>ll vendors</w:t>
      </w:r>
      <w:r w:rsidRPr="00BF0AF7">
        <w:t xml:space="preserve"> must be willing and able to </w:t>
      </w:r>
      <w:r>
        <w:t>submit</w:t>
      </w:r>
      <w:r w:rsidRPr="00BF0AF7">
        <w:t xml:space="preserve"> a W-9 form to receive payment</w:t>
      </w:r>
      <w:r w:rsidR="009B48D1">
        <w:t>)</w:t>
      </w:r>
    </w:p>
    <w:p w14:paraId="7BCA74C2" w14:textId="1F5F48C9" w:rsidR="00F634C9" w:rsidRDefault="00F634C9" w:rsidP="00F634C9">
      <w:pPr>
        <w:pStyle w:val="ListParagraph"/>
        <w:numPr>
          <w:ilvl w:val="1"/>
          <w:numId w:val="18"/>
        </w:numPr>
      </w:pPr>
      <w:r w:rsidRPr="0044166D">
        <w:t xml:space="preserve">must adhere to </w:t>
      </w:r>
      <w:r>
        <w:t xml:space="preserve">guidelines in the Cost Principles, Allowable Costs and Unallowable Costs Policy  </w:t>
      </w:r>
    </w:p>
    <w:p w14:paraId="591CAC63" w14:textId="4CC47073" w:rsidR="009D0DD7" w:rsidRDefault="00F43881" w:rsidP="00F634C9">
      <w:pPr>
        <w:pStyle w:val="ListParagraph"/>
        <w:numPr>
          <w:ilvl w:val="1"/>
          <w:numId w:val="18"/>
        </w:numPr>
      </w:pPr>
      <w:r>
        <w:t>are not appropriate for reoccurring basic needs or monthly expenses</w:t>
      </w:r>
    </w:p>
    <w:p w14:paraId="13918FAE" w14:textId="48066350" w:rsidR="00F43881" w:rsidRPr="00731EE1" w:rsidRDefault="009D0DD7" w:rsidP="00F634C9">
      <w:pPr>
        <w:pStyle w:val="ListParagraph"/>
        <w:numPr>
          <w:ilvl w:val="2"/>
          <w:numId w:val="8"/>
        </w:numPr>
        <w:rPr>
          <w:b/>
        </w:rPr>
      </w:pPr>
      <w:r>
        <w:t xml:space="preserve">Waivers for reoccurring basic needs or monthly expenses must be pre-approved by MTDLI Central Office and will only be approved on a limited basis with appropriate justification. </w:t>
      </w:r>
    </w:p>
    <w:p w14:paraId="247F3965" w14:textId="2EDDAAD3" w:rsidR="007D5003" w:rsidRDefault="00F634C9" w:rsidP="00F634C9">
      <w:pPr>
        <w:pStyle w:val="ListParagraph"/>
        <w:numPr>
          <w:ilvl w:val="0"/>
          <w:numId w:val="18"/>
        </w:numPr>
      </w:pPr>
      <w:bookmarkStart w:id="9" w:name="_Hlk31807077"/>
      <w:r>
        <w:t xml:space="preserve">Work support payment </w:t>
      </w:r>
      <w:r w:rsidR="002A5CAA">
        <w:t xml:space="preserve">requests must document the need for assistance and </w:t>
      </w:r>
      <w:r w:rsidR="009E6F8B">
        <w:t xml:space="preserve">be completed prior to receipt of the payment. </w:t>
      </w:r>
      <w:r w:rsidR="007D5003" w:rsidRPr="00D506BE">
        <w:t xml:space="preserve">The </w:t>
      </w:r>
      <w:r w:rsidR="003273BA">
        <w:t>work support</w:t>
      </w:r>
      <w:r w:rsidR="007D5003">
        <w:t xml:space="preserve"> payment</w:t>
      </w:r>
      <w:r w:rsidR="007D5003" w:rsidRPr="00D506BE">
        <w:t xml:space="preserve"> request must include:  </w:t>
      </w:r>
    </w:p>
    <w:bookmarkEnd w:id="9"/>
    <w:p w14:paraId="3FC9A64B" w14:textId="77777777" w:rsidR="007D5003" w:rsidRDefault="007D5003" w:rsidP="00F634C9">
      <w:pPr>
        <w:pStyle w:val="ListParagraph"/>
        <w:numPr>
          <w:ilvl w:val="1"/>
          <w:numId w:val="8"/>
        </w:numPr>
      </w:pPr>
      <w:r>
        <w:t>A</w:t>
      </w:r>
      <w:r w:rsidRPr="00D506BE">
        <w:t xml:space="preserve"> brief description of the expenditure; </w:t>
      </w:r>
    </w:p>
    <w:p w14:paraId="35FD537A" w14:textId="77777777" w:rsidR="007A5CB3" w:rsidRDefault="007D5003" w:rsidP="00F634C9">
      <w:pPr>
        <w:pStyle w:val="ListParagraph"/>
        <w:numPr>
          <w:ilvl w:val="1"/>
          <w:numId w:val="8"/>
        </w:numPr>
      </w:pPr>
      <w:r>
        <w:t>Dollar</w:t>
      </w:r>
      <w:r w:rsidRPr="00D506BE">
        <w:t xml:space="preserve"> amount requested; </w:t>
      </w:r>
    </w:p>
    <w:p w14:paraId="52784D0E" w14:textId="77777777" w:rsidR="007D5003" w:rsidRDefault="00E22B9E" w:rsidP="00F634C9">
      <w:pPr>
        <w:pStyle w:val="ListParagraph"/>
        <w:numPr>
          <w:ilvl w:val="1"/>
          <w:numId w:val="8"/>
        </w:numPr>
      </w:pPr>
      <w:r>
        <w:t>Documentation</w:t>
      </w:r>
      <w:r w:rsidR="007A5CB3">
        <w:t xml:space="preserve"> that the client is currently employed; and</w:t>
      </w:r>
      <w:r w:rsidR="007D5003" w:rsidRPr="00D506BE">
        <w:t xml:space="preserve"> </w:t>
      </w:r>
    </w:p>
    <w:p w14:paraId="6C30F4D7" w14:textId="77777777" w:rsidR="00E22B9E" w:rsidRDefault="007D5003" w:rsidP="00F634C9">
      <w:pPr>
        <w:pStyle w:val="ListParagraph"/>
        <w:numPr>
          <w:ilvl w:val="1"/>
          <w:numId w:val="8"/>
        </w:numPr>
      </w:pPr>
      <w:r>
        <w:t>S</w:t>
      </w:r>
      <w:r w:rsidRPr="00D506BE">
        <w:t xml:space="preserve">ignatures of </w:t>
      </w:r>
      <w:r>
        <w:t>both staff</w:t>
      </w:r>
      <w:r w:rsidRPr="00D506BE">
        <w:t xml:space="preserve"> and </w:t>
      </w:r>
      <w:r>
        <w:t xml:space="preserve">client, as well as </w:t>
      </w:r>
      <w:r w:rsidRPr="00D506BE">
        <w:t xml:space="preserve">the date the request was signed.  </w:t>
      </w:r>
    </w:p>
    <w:p w14:paraId="61867C52" w14:textId="77777777" w:rsidR="00CD3E4E" w:rsidRDefault="00D33D52" w:rsidP="00B82F45">
      <w:pPr>
        <w:pStyle w:val="Heading1"/>
      </w:pPr>
      <w:r>
        <w:t>Administrative Requirements</w:t>
      </w:r>
    </w:p>
    <w:p w14:paraId="7F5C5144" w14:textId="4F4217A6" w:rsidR="00477D78" w:rsidRDefault="00D84995" w:rsidP="00B82F45">
      <w:pPr>
        <w:pStyle w:val="ListParagraph"/>
        <w:numPr>
          <w:ilvl w:val="0"/>
          <w:numId w:val="2"/>
        </w:numPr>
      </w:pPr>
      <w:r>
        <w:t xml:space="preserve">Feedback to and from both DPHHS and </w:t>
      </w:r>
      <w:r w:rsidR="008B43CB">
        <w:t>MT</w:t>
      </w:r>
      <w:r>
        <w:t xml:space="preserve">DLI to communicate </w:t>
      </w:r>
      <w:r w:rsidR="000B710E">
        <w:t>client</w:t>
      </w:r>
      <w:r>
        <w:t xml:space="preserve"> involvement in HELP</w:t>
      </w:r>
      <w:r w:rsidR="00F913BA">
        <w:t>-</w:t>
      </w:r>
      <w:r>
        <w:t>Link and services provided.</w:t>
      </w:r>
    </w:p>
    <w:p w14:paraId="13A6AB19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information to legislative subcommittees regarding program participation, expenditures</w:t>
      </w:r>
      <w:r w:rsidR="00F913BA">
        <w:t>,</w:t>
      </w:r>
      <w:r>
        <w:t xml:space="preserve"> and outcomes.</w:t>
      </w:r>
    </w:p>
    <w:p w14:paraId="7BFE8843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reports to DPHHS as needed.</w:t>
      </w:r>
    </w:p>
    <w:p w14:paraId="6EBE7CA8" w14:textId="77777777" w:rsidR="00546174" w:rsidRDefault="00721D52" w:rsidP="00B82F45">
      <w:pPr>
        <w:pStyle w:val="Heading1"/>
      </w:pPr>
      <w:r>
        <w:t xml:space="preserve">Oversight </w:t>
      </w:r>
      <w:r w:rsidR="00E162BA">
        <w:t>and Evaluation</w:t>
      </w:r>
    </w:p>
    <w:p w14:paraId="1CC11EDC" w14:textId="77777777" w:rsidR="00E162BA" w:rsidRPr="00C752A2" w:rsidRDefault="00721D52" w:rsidP="00B82F45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Oversight and evaluation </w:t>
      </w:r>
      <w:r w:rsidR="00012ADF">
        <w:t>will be conducted by the Program Manager and/or designee(s).</w:t>
      </w:r>
    </w:p>
    <w:p w14:paraId="37C9B211" w14:textId="77777777" w:rsidR="00BA2137" w:rsidRDefault="00BA2137" w:rsidP="00B82F45">
      <w:pPr>
        <w:pStyle w:val="Heading1"/>
      </w:pPr>
      <w:r>
        <w:t>R</w:t>
      </w:r>
      <w:r w:rsidR="0050171B">
        <w:t>eferences</w:t>
      </w:r>
    </w:p>
    <w:p w14:paraId="4FC10F57" w14:textId="77777777" w:rsidR="00844B80" w:rsidRPr="005173A1" w:rsidRDefault="00CC0C4A" w:rsidP="00B82F45">
      <w:pPr>
        <w:pStyle w:val="ListParagraph"/>
        <w:numPr>
          <w:ilvl w:val="0"/>
          <w:numId w:val="4"/>
        </w:numPr>
        <w:tabs>
          <w:tab w:val="left" w:pos="360"/>
        </w:tabs>
        <w:rPr>
          <w:rStyle w:val="Hyperlink"/>
          <w:b/>
          <w:color w:val="auto"/>
          <w:u w:val="none"/>
        </w:rPr>
      </w:pPr>
      <w:hyperlink r:id="rId12" w:history="1">
        <w:r w:rsidR="008A06D4" w:rsidRPr="00AD5170">
          <w:rPr>
            <w:rStyle w:val="Hyperlink"/>
          </w:rPr>
          <w:t xml:space="preserve">2015 Montana Legislature </w:t>
        </w:r>
        <w:r w:rsidR="00012ADF" w:rsidRPr="00AD5170">
          <w:rPr>
            <w:rStyle w:val="Hyperlink"/>
          </w:rPr>
          <w:t>Senate Bill 405</w:t>
        </w:r>
      </w:hyperlink>
      <w:r w:rsidR="00012ADF">
        <w:t xml:space="preserve"> </w:t>
      </w:r>
    </w:p>
    <w:p w14:paraId="3C765C4A" w14:textId="3560DBC6" w:rsidR="00012ADF" w:rsidRPr="00731EE1" w:rsidRDefault="00CC0C4A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3" w:history="1">
        <w:r w:rsidR="008A06D4" w:rsidRPr="00AD5170">
          <w:rPr>
            <w:rStyle w:val="Hyperlink"/>
          </w:rPr>
          <w:t xml:space="preserve">2019 Montana Legislature </w:t>
        </w:r>
        <w:r w:rsidR="00141710" w:rsidRPr="00AD5170">
          <w:rPr>
            <w:rStyle w:val="Hyperlink"/>
          </w:rPr>
          <w:t>House Bill 658</w:t>
        </w:r>
      </w:hyperlink>
    </w:p>
    <w:p w14:paraId="5FDC142B" w14:textId="27A4D1C5" w:rsidR="004C4E29" w:rsidRPr="008A06D4" w:rsidRDefault="004C4E29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b/>
        </w:rPr>
      </w:pPr>
      <w:r>
        <w:rPr>
          <w:rStyle w:val="Hyperlink"/>
        </w:rPr>
        <w:t>2021 Montana Legislature House Bill 614</w:t>
      </w:r>
    </w:p>
    <w:p w14:paraId="23BF5B00" w14:textId="77777777" w:rsidR="008A06D4" w:rsidRPr="008A06D4" w:rsidRDefault="00CC0C4A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hyperlink r:id="rId14" w:history="1">
        <w:r w:rsidR="008A06D4" w:rsidRPr="00AD5170">
          <w:rPr>
            <w:rStyle w:val="Hyperlink"/>
          </w:rPr>
          <w:t>Montana Code Annotated (MCA), 39-12</w:t>
        </w:r>
      </w:hyperlink>
    </w:p>
    <w:sectPr w:rsidR="008A06D4" w:rsidRPr="008A06D4" w:rsidSect="00AB48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5F1C" w14:textId="77777777" w:rsidR="007F70D6" w:rsidRDefault="007F70D6" w:rsidP="00D52DB6">
      <w:pPr>
        <w:spacing w:after="0" w:line="240" w:lineRule="auto"/>
      </w:pPr>
      <w:r>
        <w:separator/>
      </w:r>
    </w:p>
  </w:endnote>
  <w:endnote w:type="continuationSeparator" w:id="0">
    <w:p w14:paraId="62EFF457" w14:textId="77777777" w:rsidR="007F70D6" w:rsidRDefault="007F70D6" w:rsidP="00D5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294C" w14:textId="77777777" w:rsidR="007F70D6" w:rsidRDefault="007F7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97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E6E1" w14:textId="77777777" w:rsidR="007F70D6" w:rsidRDefault="007F7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89FCBC" w14:textId="77777777" w:rsidR="007F70D6" w:rsidRDefault="007F7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6C60" w14:textId="77777777" w:rsidR="007F70D6" w:rsidRDefault="007F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0080" w14:textId="77777777" w:rsidR="007F70D6" w:rsidRDefault="007F70D6" w:rsidP="00D52DB6">
      <w:pPr>
        <w:spacing w:after="0" w:line="240" w:lineRule="auto"/>
      </w:pPr>
      <w:r>
        <w:separator/>
      </w:r>
    </w:p>
  </w:footnote>
  <w:footnote w:type="continuationSeparator" w:id="0">
    <w:p w14:paraId="711044F1" w14:textId="77777777" w:rsidR="007F70D6" w:rsidRDefault="007F70D6" w:rsidP="00D5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C060" w14:textId="77777777" w:rsidR="007F70D6" w:rsidRDefault="007F7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8673326"/>
      <w:docPartObj>
        <w:docPartGallery w:val="Watermarks"/>
        <w:docPartUnique/>
      </w:docPartObj>
    </w:sdtPr>
    <w:sdtContent>
      <w:p w14:paraId="72F5ED77" w14:textId="5D2640B5" w:rsidR="007F70D6" w:rsidRDefault="00CC0C4A">
        <w:pPr>
          <w:pStyle w:val="Header"/>
        </w:pPr>
        <w:r>
          <w:rPr>
            <w:noProof/>
          </w:rPr>
          <w:pict w14:anchorId="312F39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403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5BEC" w14:textId="77777777" w:rsidR="007F70D6" w:rsidRDefault="007F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5F2"/>
    <w:multiLevelType w:val="hybridMultilevel"/>
    <w:tmpl w:val="633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FF1"/>
    <w:multiLevelType w:val="hybridMultilevel"/>
    <w:tmpl w:val="03E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0DA0"/>
    <w:multiLevelType w:val="hybridMultilevel"/>
    <w:tmpl w:val="D02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6888"/>
    <w:multiLevelType w:val="hybridMultilevel"/>
    <w:tmpl w:val="0F1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F94"/>
    <w:multiLevelType w:val="hybridMultilevel"/>
    <w:tmpl w:val="B37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B79"/>
    <w:multiLevelType w:val="hybridMultilevel"/>
    <w:tmpl w:val="838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127"/>
    <w:multiLevelType w:val="hybridMultilevel"/>
    <w:tmpl w:val="673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5E18"/>
    <w:multiLevelType w:val="hybridMultilevel"/>
    <w:tmpl w:val="FBDA84CA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A932EFD"/>
    <w:multiLevelType w:val="hybridMultilevel"/>
    <w:tmpl w:val="BA664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13BC0"/>
    <w:multiLevelType w:val="hybridMultilevel"/>
    <w:tmpl w:val="F94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7FAA"/>
    <w:multiLevelType w:val="hybridMultilevel"/>
    <w:tmpl w:val="EEB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120"/>
    <w:multiLevelType w:val="hybridMultilevel"/>
    <w:tmpl w:val="A632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850F3"/>
    <w:multiLevelType w:val="hybridMultilevel"/>
    <w:tmpl w:val="2CD435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2D3025"/>
    <w:multiLevelType w:val="hybridMultilevel"/>
    <w:tmpl w:val="73C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17EC0"/>
    <w:multiLevelType w:val="hybridMultilevel"/>
    <w:tmpl w:val="CBB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35C0D"/>
    <w:multiLevelType w:val="hybridMultilevel"/>
    <w:tmpl w:val="F9C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1EC5"/>
    <w:multiLevelType w:val="hybridMultilevel"/>
    <w:tmpl w:val="281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2DE1"/>
    <w:multiLevelType w:val="hybridMultilevel"/>
    <w:tmpl w:val="C07AB0BC"/>
    <w:lvl w:ilvl="0" w:tplc="CB7CF3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4A62F9"/>
    <w:multiLevelType w:val="hybridMultilevel"/>
    <w:tmpl w:val="8C4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4D35"/>
    <w:multiLevelType w:val="hybridMultilevel"/>
    <w:tmpl w:val="6C7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7AC"/>
    <w:multiLevelType w:val="hybridMultilevel"/>
    <w:tmpl w:val="DE5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2216B"/>
    <w:multiLevelType w:val="hybridMultilevel"/>
    <w:tmpl w:val="A850A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C02E84">
      <w:start w:val="1"/>
      <w:numFmt w:val="bullet"/>
      <w:pStyle w:val="Heading3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E72332"/>
    <w:multiLevelType w:val="hybridMultilevel"/>
    <w:tmpl w:val="023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1584B"/>
    <w:multiLevelType w:val="hybridMultilevel"/>
    <w:tmpl w:val="E1DC6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B2C25"/>
    <w:multiLevelType w:val="hybridMultilevel"/>
    <w:tmpl w:val="7E4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863"/>
    <w:multiLevelType w:val="hybridMultilevel"/>
    <w:tmpl w:val="C1F09B5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7E4019"/>
    <w:multiLevelType w:val="hybridMultilevel"/>
    <w:tmpl w:val="807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47D1"/>
    <w:multiLevelType w:val="hybridMultilevel"/>
    <w:tmpl w:val="C9F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C2EBE"/>
    <w:multiLevelType w:val="hybridMultilevel"/>
    <w:tmpl w:val="EB3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061C4"/>
    <w:multiLevelType w:val="hybridMultilevel"/>
    <w:tmpl w:val="F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54A"/>
    <w:multiLevelType w:val="hybridMultilevel"/>
    <w:tmpl w:val="7C8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141C"/>
    <w:multiLevelType w:val="hybridMultilevel"/>
    <w:tmpl w:val="4C7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135F8"/>
    <w:multiLevelType w:val="hybridMultilevel"/>
    <w:tmpl w:val="4E7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2C8"/>
    <w:multiLevelType w:val="hybridMultilevel"/>
    <w:tmpl w:val="315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1"/>
  </w:num>
  <w:num w:numId="5">
    <w:abstractNumId w:val="30"/>
  </w:num>
  <w:num w:numId="6">
    <w:abstractNumId w:val="24"/>
  </w:num>
  <w:num w:numId="7">
    <w:abstractNumId w:val="16"/>
  </w:num>
  <w:num w:numId="8">
    <w:abstractNumId w:val="33"/>
  </w:num>
  <w:num w:numId="9">
    <w:abstractNumId w:val="13"/>
  </w:num>
  <w:num w:numId="10">
    <w:abstractNumId w:val="18"/>
  </w:num>
  <w:num w:numId="11">
    <w:abstractNumId w:val="12"/>
  </w:num>
  <w:num w:numId="12">
    <w:abstractNumId w:val="8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14"/>
  </w:num>
  <w:num w:numId="18">
    <w:abstractNumId w:val="32"/>
  </w:num>
  <w:num w:numId="19">
    <w:abstractNumId w:val="27"/>
  </w:num>
  <w:num w:numId="20">
    <w:abstractNumId w:val="9"/>
  </w:num>
  <w:num w:numId="21">
    <w:abstractNumId w:val="5"/>
  </w:num>
  <w:num w:numId="22">
    <w:abstractNumId w:val="20"/>
  </w:num>
  <w:num w:numId="23">
    <w:abstractNumId w:val="31"/>
  </w:num>
  <w:num w:numId="24">
    <w:abstractNumId w:val="10"/>
  </w:num>
  <w:num w:numId="25">
    <w:abstractNumId w:val="26"/>
  </w:num>
  <w:num w:numId="26">
    <w:abstractNumId w:val="11"/>
  </w:num>
  <w:num w:numId="27">
    <w:abstractNumId w:val="29"/>
  </w:num>
  <w:num w:numId="28">
    <w:abstractNumId w:val="7"/>
  </w:num>
  <w:num w:numId="29">
    <w:abstractNumId w:val="25"/>
  </w:num>
  <w:num w:numId="30">
    <w:abstractNumId w:val="4"/>
  </w:num>
  <w:num w:numId="31">
    <w:abstractNumId w:val="2"/>
  </w:num>
  <w:num w:numId="32">
    <w:abstractNumId w:val="23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4034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CA"/>
    <w:rsid w:val="0000302A"/>
    <w:rsid w:val="00003113"/>
    <w:rsid w:val="00004217"/>
    <w:rsid w:val="00012ADF"/>
    <w:rsid w:val="00013401"/>
    <w:rsid w:val="00014704"/>
    <w:rsid w:val="00014FD1"/>
    <w:rsid w:val="000204E5"/>
    <w:rsid w:val="000205A8"/>
    <w:rsid w:val="0002282E"/>
    <w:rsid w:val="0002436D"/>
    <w:rsid w:val="00031ACD"/>
    <w:rsid w:val="00034AAC"/>
    <w:rsid w:val="0004089B"/>
    <w:rsid w:val="00045A74"/>
    <w:rsid w:val="00046B63"/>
    <w:rsid w:val="00051047"/>
    <w:rsid w:val="0005104D"/>
    <w:rsid w:val="00055036"/>
    <w:rsid w:val="000609D8"/>
    <w:rsid w:val="000625A6"/>
    <w:rsid w:val="000665C8"/>
    <w:rsid w:val="000675BC"/>
    <w:rsid w:val="00067993"/>
    <w:rsid w:val="00072C9A"/>
    <w:rsid w:val="00073B9A"/>
    <w:rsid w:val="000756FE"/>
    <w:rsid w:val="00080466"/>
    <w:rsid w:val="00083518"/>
    <w:rsid w:val="00084734"/>
    <w:rsid w:val="00092133"/>
    <w:rsid w:val="00093EE7"/>
    <w:rsid w:val="0009437E"/>
    <w:rsid w:val="00095C51"/>
    <w:rsid w:val="000961AA"/>
    <w:rsid w:val="000A0A54"/>
    <w:rsid w:val="000B368D"/>
    <w:rsid w:val="000B4460"/>
    <w:rsid w:val="000B4A95"/>
    <w:rsid w:val="000B710E"/>
    <w:rsid w:val="000C02AD"/>
    <w:rsid w:val="000C1D66"/>
    <w:rsid w:val="000C4B89"/>
    <w:rsid w:val="000D42A4"/>
    <w:rsid w:val="000D4E38"/>
    <w:rsid w:val="000D77F5"/>
    <w:rsid w:val="000E0526"/>
    <w:rsid w:val="000E08AB"/>
    <w:rsid w:val="000E2FEB"/>
    <w:rsid w:val="000E57AB"/>
    <w:rsid w:val="000F0A43"/>
    <w:rsid w:val="000F10E2"/>
    <w:rsid w:val="000F2F19"/>
    <w:rsid w:val="00104EDC"/>
    <w:rsid w:val="00114796"/>
    <w:rsid w:val="00115CE8"/>
    <w:rsid w:val="00116908"/>
    <w:rsid w:val="00123400"/>
    <w:rsid w:val="00125C37"/>
    <w:rsid w:val="001279DB"/>
    <w:rsid w:val="00134B4F"/>
    <w:rsid w:val="00135454"/>
    <w:rsid w:val="00141710"/>
    <w:rsid w:val="00147D46"/>
    <w:rsid w:val="00151047"/>
    <w:rsid w:val="00151504"/>
    <w:rsid w:val="0015319A"/>
    <w:rsid w:val="0016016B"/>
    <w:rsid w:val="00161457"/>
    <w:rsid w:val="00164F86"/>
    <w:rsid w:val="00167B28"/>
    <w:rsid w:val="00177C4E"/>
    <w:rsid w:val="00185CC6"/>
    <w:rsid w:val="00186096"/>
    <w:rsid w:val="00187947"/>
    <w:rsid w:val="00190D4A"/>
    <w:rsid w:val="0019208F"/>
    <w:rsid w:val="00192FAB"/>
    <w:rsid w:val="00194F6A"/>
    <w:rsid w:val="001953AF"/>
    <w:rsid w:val="001A1F3A"/>
    <w:rsid w:val="001A7137"/>
    <w:rsid w:val="001B26F1"/>
    <w:rsid w:val="001B4A99"/>
    <w:rsid w:val="001C233E"/>
    <w:rsid w:val="001C2E6D"/>
    <w:rsid w:val="001C49A0"/>
    <w:rsid w:val="001D1ACB"/>
    <w:rsid w:val="001D27F6"/>
    <w:rsid w:val="001D75B9"/>
    <w:rsid w:val="001E24F7"/>
    <w:rsid w:val="001E26EE"/>
    <w:rsid w:val="001E2D8D"/>
    <w:rsid w:val="001F0A09"/>
    <w:rsid w:val="001F4B79"/>
    <w:rsid w:val="001F68A9"/>
    <w:rsid w:val="001F7105"/>
    <w:rsid w:val="00203A55"/>
    <w:rsid w:val="00205E80"/>
    <w:rsid w:val="00206A2B"/>
    <w:rsid w:val="002075A1"/>
    <w:rsid w:val="0020767C"/>
    <w:rsid w:val="00211FAA"/>
    <w:rsid w:val="00213170"/>
    <w:rsid w:val="002179E9"/>
    <w:rsid w:val="00221C06"/>
    <w:rsid w:val="00222372"/>
    <w:rsid w:val="00223DED"/>
    <w:rsid w:val="002241AE"/>
    <w:rsid w:val="002241C2"/>
    <w:rsid w:val="0022656B"/>
    <w:rsid w:val="00226DE3"/>
    <w:rsid w:val="0023097C"/>
    <w:rsid w:val="00233FF6"/>
    <w:rsid w:val="0023590D"/>
    <w:rsid w:val="00242B7C"/>
    <w:rsid w:val="00250A56"/>
    <w:rsid w:val="00256DD4"/>
    <w:rsid w:val="00256F87"/>
    <w:rsid w:val="002662FD"/>
    <w:rsid w:val="00270D3C"/>
    <w:rsid w:val="002719D7"/>
    <w:rsid w:val="00271CE1"/>
    <w:rsid w:val="002818C7"/>
    <w:rsid w:val="0028453D"/>
    <w:rsid w:val="002877F4"/>
    <w:rsid w:val="00290367"/>
    <w:rsid w:val="00296896"/>
    <w:rsid w:val="00297C07"/>
    <w:rsid w:val="002A4A6F"/>
    <w:rsid w:val="002A553D"/>
    <w:rsid w:val="002A5CAA"/>
    <w:rsid w:val="002B3EF2"/>
    <w:rsid w:val="002B51FA"/>
    <w:rsid w:val="002C3E9F"/>
    <w:rsid w:val="002D14DA"/>
    <w:rsid w:val="002D3010"/>
    <w:rsid w:val="002D3311"/>
    <w:rsid w:val="002D49E7"/>
    <w:rsid w:val="002D54B5"/>
    <w:rsid w:val="002E16C8"/>
    <w:rsid w:val="002E1FF3"/>
    <w:rsid w:val="002F13F0"/>
    <w:rsid w:val="002F6183"/>
    <w:rsid w:val="00301B42"/>
    <w:rsid w:val="00302B60"/>
    <w:rsid w:val="00302CDC"/>
    <w:rsid w:val="00312CCD"/>
    <w:rsid w:val="00314BF5"/>
    <w:rsid w:val="00316384"/>
    <w:rsid w:val="003273BA"/>
    <w:rsid w:val="00330B25"/>
    <w:rsid w:val="00332475"/>
    <w:rsid w:val="003358E9"/>
    <w:rsid w:val="00347E96"/>
    <w:rsid w:val="00350BF5"/>
    <w:rsid w:val="00351C2B"/>
    <w:rsid w:val="00355484"/>
    <w:rsid w:val="00356C2B"/>
    <w:rsid w:val="003573B0"/>
    <w:rsid w:val="003705DF"/>
    <w:rsid w:val="00370FBE"/>
    <w:rsid w:val="0037269D"/>
    <w:rsid w:val="00374B80"/>
    <w:rsid w:val="003761F6"/>
    <w:rsid w:val="00380B06"/>
    <w:rsid w:val="0039096A"/>
    <w:rsid w:val="00397AD7"/>
    <w:rsid w:val="00397B73"/>
    <w:rsid w:val="003A2C6B"/>
    <w:rsid w:val="003A6075"/>
    <w:rsid w:val="003A7B50"/>
    <w:rsid w:val="003B23A8"/>
    <w:rsid w:val="003B431F"/>
    <w:rsid w:val="003C26F1"/>
    <w:rsid w:val="003C3D24"/>
    <w:rsid w:val="003C68D8"/>
    <w:rsid w:val="003D03B5"/>
    <w:rsid w:val="003D23DB"/>
    <w:rsid w:val="003D31F8"/>
    <w:rsid w:val="003D51EE"/>
    <w:rsid w:val="003D7FE2"/>
    <w:rsid w:val="003E005F"/>
    <w:rsid w:val="003E2267"/>
    <w:rsid w:val="003E234B"/>
    <w:rsid w:val="003F4440"/>
    <w:rsid w:val="003F46A9"/>
    <w:rsid w:val="004000B2"/>
    <w:rsid w:val="004024EE"/>
    <w:rsid w:val="00402D1C"/>
    <w:rsid w:val="00404419"/>
    <w:rsid w:val="00404F06"/>
    <w:rsid w:val="004072D7"/>
    <w:rsid w:val="00410AD3"/>
    <w:rsid w:val="0041344C"/>
    <w:rsid w:val="00420593"/>
    <w:rsid w:val="00420ED6"/>
    <w:rsid w:val="004275D4"/>
    <w:rsid w:val="00430179"/>
    <w:rsid w:val="00435E0E"/>
    <w:rsid w:val="00440A48"/>
    <w:rsid w:val="004414DF"/>
    <w:rsid w:val="0044166D"/>
    <w:rsid w:val="00441AAA"/>
    <w:rsid w:val="0044457A"/>
    <w:rsid w:val="00450FB5"/>
    <w:rsid w:val="004530B9"/>
    <w:rsid w:val="0045636E"/>
    <w:rsid w:val="00461F72"/>
    <w:rsid w:val="004640B7"/>
    <w:rsid w:val="00465B16"/>
    <w:rsid w:val="00465CEF"/>
    <w:rsid w:val="00471F6C"/>
    <w:rsid w:val="00474A2B"/>
    <w:rsid w:val="00474CD2"/>
    <w:rsid w:val="00476F52"/>
    <w:rsid w:val="004773E3"/>
    <w:rsid w:val="00477D78"/>
    <w:rsid w:val="0048735B"/>
    <w:rsid w:val="00490277"/>
    <w:rsid w:val="0049049C"/>
    <w:rsid w:val="004930F6"/>
    <w:rsid w:val="004A4C38"/>
    <w:rsid w:val="004A52C4"/>
    <w:rsid w:val="004A6F7A"/>
    <w:rsid w:val="004B24E6"/>
    <w:rsid w:val="004B4277"/>
    <w:rsid w:val="004B6AF3"/>
    <w:rsid w:val="004C15B4"/>
    <w:rsid w:val="004C1D3E"/>
    <w:rsid w:val="004C4E29"/>
    <w:rsid w:val="004C74BF"/>
    <w:rsid w:val="004D00AE"/>
    <w:rsid w:val="004D1E1B"/>
    <w:rsid w:val="004E0F01"/>
    <w:rsid w:val="004E22A9"/>
    <w:rsid w:val="004E2D18"/>
    <w:rsid w:val="004E3CF5"/>
    <w:rsid w:val="004E582A"/>
    <w:rsid w:val="004F184E"/>
    <w:rsid w:val="004F3B11"/>
    <w:rsid w:val="004F4CC1"/>
    <w:rsid w:val="004F5362"/>
    <w:rsid w:val="004F7578"/>
    <w:rsid w:val="0050171B"/>
    <w:rsid w:val="005034F8"/>
    <w:rsid w:val="00512FA5"/>
    <w:rsid w:val="00514233"/>
    <w:rsid w:val="00515CEC"/>
    <w:rsid w:val="005173A1"/>
    <w:rsid w:val="005208EB"/>
    <w:rsid w:val="00522458"/>
    <w:rsid w:val="00523BD0"/>
    <w:rsid w:val="00536D9C"/>
    <w:rsid w:val="00537159"/>
    <w:rsid w:val="00541EA3"/>
    <w:rsid w:val="00544B34"/>
    <w:rsid w:val="00545219"/>
    <w:rsid w:val="00545832"/>
    <w:rsid w:val="00546174"/>
    <w:rsid w:val="00550F45"/>
    <w:rsid w:val="00551EEE"/>
    <w:rsid w:val="00554340"/>
    <w:rsid w:val="00554B08"/>
    <w:rsid w:val="00556E57"/>
    <w:rsid w:val="00573A3C"/>
    <w:rsid w:val="00573DD1"/>
    <w:rsid w:val="00575023"/>
    <w:rsid w:val="00576001"/>
    <w:rsid w:val="00576FFE"/>
    <w:rsid w:val="00581850"/>
    <w:rsid w:val="0058316D"/>
    <w:rsid w:val="005852D6"/>
    <w:rsid w:val="00592DB1"/>
    <w:rsid w:val="00594BF3"/>
    <w:rsid w:val="0059606B"/>
    <w:rsid w:val="005A00BB"/>
    <w:rsid w:val="005A5079"/>
    <w:rsid w:val="005A7D57"/>
    <w:rsid w:val="005B1CF1"/>
    <w:rsid w:val="005B2E52"/>
    <w:rsid w:val="005B3441"/>
    <w:rsid w:val="005B69AC"/>
    <w:rsid w:val="005B712D"/>
    <w:rsid w:val="005C2977"/>
    <w:rsid w:val="005C6D3D"/>
    <w:rsid w:val="005D176C"/>
    <w:rsid w:val="005D1880"/>
    <w:rsid w:val="005D488A"/>
    <w:rsid w:val="005D5216"/>
    <w:rsid w:val="005D6921"/>
    <w:rsid w:val="005D74A8"/>
    <w:rsid w:val="005E0CBB"/>
    <w:rsid w:val="005E30A9"/>
    <w:rsid w:val="005F4663"/>
    <w:rsid w:val="00600160"/>
    <w:rsid w:val="00601425"/>
    <w:rsid w:val="006050C5"/>
    <w:rsid w:val="00605EB1"/>
    <w:rsid w:val="00612FD0"/>
    <w:rsid w:val="00613312"/>
    <w:rsid w:val="00615BA1"/>
    <w:rsid w:val="00621E94"/>
    <w:rsid w:val="00626E45"/>
    <w:rsid w:val="006313C5"/>
    <w:rsid w:val="00632ABA"/>
    <w:rsid w:val="0063337E"/>
    <w:rsid w:val="00641A3F"/>
    <w:rsid w:val="00643C40"/>
    <w:rsid w:val="00644106"/>
    <w:rsid w:val="0065468C"/>
    <w:rsid w:val="00654E25"/>
    <w:rsid w:val="00655AFD"/>
    <w:rsid w:val="006615B3"/>
    <w:rsid w:val="00661B35"/>
    <w:rsid w:val="00664274"/>
    <w:rsid w:val="00665EC5"/>
    <w:rsid w:val="00683AFB"/>
    <w:rsid w:val="0068583D"/>
    <w:rsid w:val="00685DAA"/>
    <w:rsid w:val="00691784"/>
    <w:rsid w:val="006974E8"/>
    <w:rsid w:val="006A1751"/>
    <w:rsid w:val="006A3722"/>
    <w:rsid w:val="006A48C9"/>
    <w:rsid w:val="006B3427"/>
    <w:rsid w:val="006B71BD"/>
    <w:rsid w:val="006C4AD3"/>
    <w:rsid w:val="006C5CF3"/>
    <w:rsid w:val="006C7FEB"/>
    <w:rsid w:val="006D0033"/>
    <w:rsid w:val="006D0E7D"/>
    <w:rsid w:val="006D1FD7"/>
    <w:rsid w:val="006D6011"/>
    <w:rsid w:val="006E20F2"/>
    <w:rsid w:val="006E5198"/>
    <w:rsid w:val="006E7D0F"/>
    <w:rsid w:val="00703D6F"/>
    <w:rsid w:val="0070511B"/>
    <w:rsid w:val="0070524B"/>
    <w:rsid w:val="00713678"/>
    <w:rsid w:val="00720B24"/>
    <w:rsid w:val="00721C4C"/>
    <w:rsid w:val="00721D52"/>
    <w:rsid w:val="00722BDB"/>
    <w:rsid w:val="0072378A"/>
    <w:rsid w:val="0072396A"/>
    <w:rsid w:val="007254E4"/>
    <w:rsid w:val="00731EE1"/>
    <w:rsid w:val="00732AC3"/>
    <w:rsid w:val="00735FE7"/>
    <w:rsid w:val="007361BF"/>
    <w:rsid w:val="00736AA9"/>
    <w:rsid w:val="0074590E"/>
    <w:rsid w:val="0075050C"/>
    <w:rsid w:val="007507D3"/>
    <w:rsid w:val="00754A78"/>
    <w:rsid w:val="00755F3B"/>
    <w:rsid w:val="00763CCC"/>
    <w:rsid w:val="00767DE5"/>
    <w:rsid w:val="00767EB9"/>
    <w:rsid w:val="007701F5"/>
    <w:rsid w:val="00774A71"/>
    <w:rsid w:val="00780254"/>
    <w:rsid w:val="00780968"/>
    <w:rsid w:val="00791225"/>
    <w:rsid w:val="007925D5"/>
    <w:rsid w:val="007955CE"/>
    <w:rsid w:val="007957C5"/>
    <w:rsid w:val="00795BB1"/>
    <w:rsid w:val="007968A2"/>
    <w:rsid w:val="007A07ED"/>
    <w:rsid w:val="007A4477"/>
    <w:rsid w:val="007A5CB3"/>
    <w:rsid w:val="007A65CA"/>
    <w:rsid w:val="007B12A9"/>
    <w:rsid w:val="007B5366"/>
    <w:rsid w:val="007C750F"/>
    <w:rsid w:val="007D2488"/>
    <w:rsid w:val="007D5003"/>
    <w:rsid w:val="007D62D0"/>
    <w:rsid w:val="007E7C5A"/>
    <w:rsid w:val="007F1AFE"/>
    <w:rsid w:val="007F2B79"/>
    <w:rsid w:val="007F604A"/>
    <w:rsid w:val="007F70D6"/>
    <w:rsid w:val="008004B8"/>
    <w:rsid w:val="00810C63"/>
    <w:rsid w:val="008155B8"/>
    <w:rsid w:val="008171B5"/>
    <w:rsid w:val="00817823"/>
    <w:rsid w:val="00821C71"/>
    <w:rsid w:val="00824E1B"/>
    <w:rsid w:val="00825296"/>
    <w:rsid w:val="00832527"/>
    <w:rsid w:val="0083349C"/>
    <w:rsid w:val="008349AF"/>
    <w:rsid w:val="00837AF4"/>
    <w:rsid w:val="008438A9"/>
    <w:rsid w:val="00844B80"/>
    <w:rsid w:val="00845865"/>
    <w:rsid w:val="0085038D"/>
    <w:rsid w:val="00855A5D"/>
    <w:rsid w:val="00857901"/>
    <w:rsid w:val="00866921"/>
    <w:rsid w:val="00872C2B"/>
    <w:rsid w:val="00875A17"/>
    <w:rsid w:val="00875E97"/>
    <w:rsid w:val="008800EA"/>
    <w:rsid w:val="00881BDD"/>
    <w:rsid w:val="00886A2E"/>
    <w:rsid w:val="00890982"/>
    <w:rsid w:val="008936CB"/>
    <w:rsid w:val="008A01E7"/>
    <w:rsid w:val="008A06D4"/>
    <w:rsid w:val="008A09F5"/>
    <w:rsid w:val="008A2384"/>
    <w:rsid w:val="008A2C08"/>
    <w:rsid w:val="008A785F"/>
    <w:rsid w:val="008B3BBC"/>
    <w:rsid w:val="008B4336"/>
    <w:rsid w:val="008B43CB"/>
    <w:rsid w:val="008B65CB"/>
    <w:rsid w:val="008C1B75"/>
    <w:rsid w:val="008C2475"/>
    <w:rsid w:val="008C4E7B"/>
    <w:rsid w:val="008C55D3"/>
    <w:rsid w:val="008D08AA"/>
    <w:rsid w:val="008E1CCE"/>
    <w:rsid w:val="008E4243"/>
    <w:rsid w:val="008E50AA"/>
    <w:rsid w:val="008F1FD6"/>
    <w:rsid w:val="008F4699"/>
    <w:rsid w:val="0090206D"/>
    <w:rsid w:val="009027DE"/>
    <w:rsid w:val="00903D9D"/>
    <w:rsid w:val="00911D26"/>
    <w:rsid w:val="00911EDA"/>
    <w:rsid w:val="00913AB6"/>
    <w:rsid w:val="009221E4"/>
    <w:rsid w:val="00922BB2"/>
    <w:rsid w:val="00923AFD"/>
    <w:rsid w:val="00927AF7"/>
    <w:rsid w:val="00931F99"/>
    <w:rsid w:val="00937A76"/>
    <w:rsid w:val="00943C57"/>
    <w:rsid w:val="0094550E"/>
    <w:rsid w:val="00945E6A"/>
    <w:rsid w:val="00946825"/>
    <w:rsid w:val="00951EFB"/>
    <w:rsid w:val="0095358C"/>
    <w:rsid w:val="00953691"/>
    <w:rsid w:val="009550B2"/>
    <w:rsid w:val="009704D5"/>
    <w:rsid w:val="00976AD8"/>
    <w:rsid w:val="00984F68"/>
    <w:rsid w:val="00985AB3"/>
    <w:rsid w:val="0099037F"/>
    <w:rsid w:val="009978A4"/>
    <w:rsid w:val="00997FAA"/>
    <w:rsid w:val="009A2385"/>
    <w:rsid w:val="009A2F1F"/>
    <w:rsid w:val="009A40EF"/>
    <w:rsid w:val="009A6D91"/>
    <w:rsid w:val="009B339E"/>
    <w:rsid w:val="009B48D1"/>
    <w:rsid w:val="009B5C01"/>
    <w:rsid w:val="009C1BAF"/>
    <w:rsid w:val="009C26E8"/>
    <w:rsid w:val="009C3B75"/>
    <w:rsid w:val="009C7C71"/>
    <w:rsid w:val="009C7E0C"/>
    <w:rsid w:val="009D034B"/>
    <w:rsid w:val="009D04BB"/>
    <w:rsid w:val="009D0DD7"/>
    <w:rsid w:val="009D771C"/>
    <w:rsid w:val="009E1B21"/>
    <w:rsid w:val="009E59E5"/>
    <w:rsid w:val="009E6650"/>
    <w:rsid w:val="009E6F8B"/>
    <w:rsid w:val="009E7063"/>
    <w:rsid w:val="009F08AD"/>
    <w:rsid w:val="009F4581"/>
    <w:rsid w:val="009F4DEB"/>
    <w:rsid w:val="00A000A2"/>
    <w:rsid w:val="00A001D2"/>
    <w:rsid w:val="00A1420A"/>
    <w:rsid w:val="00A16F70"/>
    <w:rsid w:val="00A203ED"/>
    <w:rsid w:val="00A24306"/>
    <w:rsid w:val="00A324FC"/>
    <w:rsid w:val="00A33459"/>
    <w:rsid w:val="00A365CE"/>
    <w:rsid w:val="00A4062D"/>
    <w:rsid w:val="00A50567"/>
    <w:rsid w:val="00A52F6F"/>
    <w:rsid w:val="00A56800"/>
    <w:rsid w:val="00A63146"/>
    <w:rsid w:val="00A64828"/>
    <w:rsid w:val="00A655E9"/>
    <w:rsid w:val="00A72D71"/>
    <w:rsid w:val="00A779AF"/>
    <w:rsid w:val="00A809CD"/>
    <w:rsid w:val="00A83996"/>
    <w:rsid w:val="00A84C61"/>
    <w:rsid w:val="00A86AF1"/>
    <w:rsid w:val="00A86C62"/>
    <w:rsid w:val="00AA0122"/>
    <w:rsid w:val="00AA18B5"/>
    <w:rsid w:val="00AA25CF"/>
    <w:rsid w:val="00AB486D"/>
    <w:rsid w:val="00AB50AB"/>
    <w:rsid w:val="00AB795C"/>
    <w:rsid w:val="00AC082C"/>
    <w:rsid w:val="00AC39D8"/>
    <w:rsid w:val="00AC452B"/>
    <w:rsid w:val="00AC54DF"/>
    <w:rsid w:val="00AC61B8"/>
    <w:rsid w:val="00AD5170"/>
    <w:rsid w:val="00AE2C71"/>
    <w:rsid w:val="00AE7ED3"/>
    <w:rsid w:val="00AF7656"/>
    <w:rsid w:val="00B01489"/>
    <w:rsid w:val="00B0412A"/>
    <w:rsid w:val="00B11961"/>
    <w:rsid w:val="00B14125"/>
    <w:rsid w:val="00B14B08"/>
    <w:rsid w:val="00B1723B"/>
    <w:rsid w:val="00B252AE"/>
    <w:rsid w:val="00B33F5E"/>
    <w:rsid w:val="00B340B9"/>
    <w:rsid w:val="00B3421F"/>
    <w:rsid w:val="00B43EBA"/>
    <w:rsid w:val="00B45107"/>
    <w:rsid w:val="00B509A5"/>
    <w:rsid w:val="00B54AD4"/>
    <w:rsid w:val="00B5746E"/>
    <w:rsid w:val="00B57BA3"/>
    <w:rsid w:val="00B61A27"/>
    <w:rsid w:val="00B625B4"/>
    <w:rsid w:val="00B639D9"/>
    <w:rsid w:val="00B63FD3"/>
    <w:rsid w:val="00B64CE8"/>
    <w:rsid w:val="00B64F33"/>
    <w:rsid w:val="00B74EF8"/>
    <w:rsid w:val="00B75DEC"/>
    <w:rsid w:val="00B82F45"/>
    <w:rsid w:val="00B8522B"/>
    <w:rsid w:val="00B91BE8"/>
    <w:rsid w:val="00B96AA5"/>
    <w:rsid w:val="00BA0C0D"/>
    <w:rsid w:val="00BA1EE1"/>
    <w:rsid w:val="00BA1FCF"/>
    <w:rsid w:val="00BA2137"/>
    <w:rsid w:val="00BA346E"/>
    <w:rsid w:val="00BA4C78"/>
    <w:rsid w:val="00BA5191"/>
    <w:rsid w:val="00BA6403"/>
    <w:rsid w:val="00BB0FAA"/>
    <w:rsid w:val="00BB3C0B"/>
    <w:rsid w:val="00BB4E6E"/>
    <w:rsid w:val="00BB5117"/>
    <w:rsid w:val="00BC258D"/>
    <w:rsid w:val="00BC2636"/>
    <w:rsid w:val="00BC5107"/>
    <w:rsid w:val="00BC53CA"/>
    <w:rsid w:val="00BC73AB"/>
    <w:rsid w:val="00BC75AF"/>
    <w:rsid w:val="00BD3C52"/>
    <w:rsid w:val="00BE2802"/>
    <w:rsid w:val="00BE7117"/>
    <w:rsid w:val="00BF0AF7"/>
    <w:rsid w:val="00BF2BEF"/>
    <w:rsid w:val="00BF4B06"/>
    <w:rsid w:val="00C02E1C"/>
    <w:rsid w:val="00C02FDF"/>
    <w:rsid w:val="00C041D8"/>
    <w:rsid w:val="00C05377"/>
    <w:rsid w:val="00C06759"/>
    <w:rsid w:val="00C06A6B"/>
    <w:rsid w:val="00C1182D"/>
    <w:rsid w:val="00C11A80"/>
    <w:rsid w:val="00C21529"/>
    <w:rsid w:val="00C244B4"/>
    <w:rsid w:val="00C300FD"/>
    <w:rsid w:val="00C31546"/>
    <w:rsid w:val="00C503BF"/>
    <w:rsid w:val="00C51C03"/>
    <w:rsid w:val="00C51FB3"/>
    <w:rsid w:val="00C53356"/>
    <w:rsid w:val="00C625DC"/>
    <w:rsid w:val="00C62E81"/>
    <w:rsid w:val="00C64858"/>
    <w:rsid w:val="00C654A4"/>
    <w:rsid w:val="00C6556C"/>
    <w:rsid w:val="00C7188A"/>
    <w:rsid w:val="00C7493F"/>
    <w:rsid w:val="00C74A8B"/>
    <w:rsid w:val="00C752A2"/>
    <w:rsid w:val="00C85574"/>
    <w:rsid w:val="00C8696E"/>
    <w:rsid w:val="00C935AC"/>
    <w:rsid w:val="00CA2286"/>
    <w:rsid w:val="00CA36AB"/>
    <w:rsid w:val="00CA6AD9"/>
    <w:rsid w:val="00CA77D7"/>
    <w:rsid w:val="00CB496B"/>
    <w:rsid w:val="00CC0C4A"/>
    <w:rsid w:val="00CC1232"/>
    <w:rsid w:val="00CC1E4A"/>
    <w:rsid w:val="00CC778C"/>
    <w:rsid w:val="00CD031E"/>
    <w:rsid w:val="00CD0872"/>
    <w:rsid w:val="00CD270C"/>
    <w:rsid w:val="00CD3AB9"/>
    <w:rsid w:val="00CD3E4E"/>
    <w:rsid w:val="00CD624A"/>
    <w:rsid w:val="00CE5B23"/>
    <w:rsid w:val="00CE7EAA"/>
    <w:rsid w:val="00CF3575"/>
    <w:rsid w:val="00D0070F"/>
    <w:rsid w:val="00D03328"/>
    <w:rsid w:val="00D113CD"/>
    <w:rsid w:val="00D134D9"/>
    <w:rsid w:val="00D21C4E"/>
    <w:rsid w:val="00D24969"/>
    <w:rsid w:val="00D26116"/>
    <w:rsid w:val="00D2744B"/>
    <w:rsid w:val="00D33D52"/>
    <w:rsid w:val="00D375D5"/>
    <w:rsid w:val="00D41B8C"/>
    <w:rsid w:val="00D45C0E"/>
    <w:rsid w:val="00D46B63"/>
    <w:rsid w:val="00D52DB6"/>
    <w:rsid w:val="00D5444E"/>
    <w:rsid w:val="00D5461B"/>
    <w:rsid w:val="00D55AAD"/>
    <w:rsid w:val="00D55DD8"/>
    <w:rsid w:val="00D6150D"/>
    <w:rsid w:val="00D6194C"/>
    <w:rsid w:val="00D629AE"/>
    <w:rsid w:val="00D65BEC"/>
    <w:rsid w:val="00D6727A"/>
    <w:rsid w:val="00D71AD1"/>
    <w:rsid w:val="00D824CF"/>
    <w:rsid w:val="00D84995"/>
    <w:rsid w:val="00D91B9C"/>
    <w:rsid w:val="00D92282"/>
    <w:rsid w:val="00D9243C"/>
    <w:rsid w:val="00D9261A"/>
    <w:rsid w:val="00D9413D"/>
    <w:rsid w:val="00D94C2C"/>
    <w:rsid w:val="00D950DD"/>
    <w:rsid w:val="00D959ED"/>
    <w:rsid w:val="00D97B19"/>
    <w:rsid w:val="00DA2865"/>
    <w:rsid w:val="00DA5FFC"/>
    <w:rsid w:val="00DB684D"/>
    <w:rsid w:val="00DB6CEF"/>
    <w:rsid w:val="00DB7566"/>
    <w:rsid w:val="00DC07DD"/>
    <w:rsid w:val="00DC10E6"/>
    <w:rsid w:val="00DC4239"/>
    <w:rsid w:val="00DC5142"/>
    <w:rsid w:val="00DC523C"/>
    <w:rsid w:val="00DC5EBB"/>
    <w:rsid w:val="00DD07EC"/>
    <w:rsid w:val="00DD1C6E"/>
    <w:rsid w:val="00DD1EF9"/>
    <w:rsid w:val="00DD7E6F"/>
    <w:rsid w:val="00DE6075"/>
    <w:rsid w:val="00DE7FE2"/>
    <w:rsid w:val="00DF3E23"/>
    <w:rsid w:val="00DF5D71"/>
    <w:rsid w:val="00DF6833"/>
    <w:rsid w:val="00DF79F5"/>
    <w:rsid w:val="00E0229C"/>
    <w:rsid w:val="00E12969"/>
    <w:rsid w:val="00E162BA"/>
    <w:rsid w:val="00E1686F"/>
    <w:rsid w:val="00E22B9E"/>
    <w:rsid w:val="00E25701"/>
    <w:rsid w:val="00E25791"/>
    <w:rsid w:val="00E30F36"/>
    <w:rsid w:val="00E32725"/>
    <w:rsid w:val="00E375CE"/>
    <w:rsid w:val="00E37BF3"/>
    <w:rsid w:val="00E44F50"/>
    <w:rsid w:val="00E45236"/>
    <w:rsid w:val="00E464FB"/>
    <w:rsid w:val="00E470DF"/>
    <w:rsid w:val="00E57A48"/>
    <w:rsid w:val="00E63BEB"/>
    <w:rsid w:val="00E64A28"/>
    <w:rsid w:val="00E800C9"/>
    <w:rsid w:val="00E822E1"/>
    <w:rsid w:val="00E87AFA"/>
    <w:rsid w:val="00E91791"/>
    <w:rsid w:val="00E92587"/>
    <w:rsid w:val="00EB7E7B"/>
    <w:rsid w:val="00EC0CD6"/>
    <w:rsid w:val="00EC2789"/>
    <w:rsid w:val="00EC3DA3"/>
    <w:rsid w:val="00EC3EBF"/>
    <w:rsid w:val="00EC5EAC"/>
    <w:rsid w:val="00EC777A"/>
    <w:rsid w:val="00ED031F"/>
    <w:rsid w:val="00EE3E8F"/>
    <w:rsid w:val="00EE5131"/>
    <w:rsid w:val="00EE79F8"/>
    <w:rsid w:val="00EF0960"/>
    <w:rsid w:val="00EF09F8"/>
    <w:rsid w:val="00EF5B2A"/>
    <w:rsid w:val="00EF6173"/>
    <w:rsid w:val="00EF6D86"/>
    <w:rsid w:val="00F03FED"/>
    <w:rsid w:val="00F06F49"/>
    <w:rsid w:val="00F1121E"/>
    <w:rsid w:val="00F1311A"/>
    <w:rsid w:val="00F16C67"/>
    <w:rsid w:val="00F22E92"/>
    <w:rsid w:val="00F23118"/>
    <w:rsid w:val="00F235E1"/>
    <w:rsid w:val="00F309B6"/>
    <w:rsid w:val="00F31CB2"/>
    <w:rsid w:val="00F31D30"/>
    <w:rsid w:val="00F32612"/>
    <w:rsid w:val="00F371E7"/>
    <w:rsid w:val="00F37B09"/>
    <w:rsid w:val="00F401BD"/>
    <w:rsid w:val="00F41721"/>
    <w:rsid w:val="00F4270B"/>
    <w:rsid w:val="00F4355A"/>
    <w:rsid w:val="00F43881"/>
    <w:rsid w:val="00F5038F"/>
    <w:rsid w:val="00F508F0"/>
    <w:rsid w:val="00F529D7"/>
    <w:rsid w:val="00F52FE6"/>
    <w:rsid w:val="00F55793"/>
    <w:rsid w:val="00F55E48"/>
    <w:rsid w:val="00F56A7A"/>
    <w:rsid w:val="00F634C9"/>
    <w:rsid w:val="00F74A66"/>
    <w:rsid w:val="00F75133"/>
    <w:rsid w:val="00F76556"/>
    <w:rsid w:val="00F841B0"/>
    <w:rsid w:val="00F86D65"/>
    <w:rsid w:val="00F872C7"/>
    <w:rsid w:val="00F913BA"/>
    <w:rsid w:val="00F95F91"/>
    <w:rsid w:val="00FA0845"/>
    <w:rsid w:val="00FB438F"/>
    <w:rsid w:val="00FB52F7"/>
    <w:rsid w:val="00FB6D78"/>
    <w:rsid w:val="00FC03E7"/>
    <w:rsid w:val="00FC1713"/>
    <w:rsid w:val="00FC18E1"/>
    <w:rsid w:val="00FC1EBB"/>
    <w:rsid w:val="00FC24E3"/>
    <w:rsid w:val="00FC2851"/>
    <w:rsid w:val="00FC3872"/>
    <w:rsid w:val="00FC6385"/>
    <w:rsid w:val="00FC7006"/>
    <w:rsid w:val="00FD4E47"/>
    <w:rsid w:val="00FD7334"/>
    <w:rsid w:val="00FD7585"/>
    <w:rsid w:val="00FE6677"/>
    <w:rsid w:val="00FE72F2"/>
    <w:rsid w:val="00FF0740"/>
    <w:rsid w:val="00FF3310"/>
    <w:rsid w:val="00FF685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  <w14:docId w14:val="413A2023"/>
  <w15:chartTrackingRefBased/>
  <w15:docId w15:val="{1D160258-4F8F-4E47-813E-A996DB5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F45"/>
    <w:pPr>
      <w:keepNext/>
      <w:keepLines/>
      <w:spacing w:before="160" w:after="0"/>
      <w:outlineLvl w:val="0"/>
    </w:pPr>
    <w:rPr>
      <w:rFonts w:eastAsiaTheme="majorEastAsia" w:cstheme="majorBidi"/>
      <w:color w:val="003E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2F45"/>
    <w:pPr>
      <w:keepNext/>
      <w:keepLines/>
      <w:spacing w:before="160" w:after="0"/>
      <w:outlineLvl w:val="1"/>
    </w:pPr>
    <w:rPr>
      <w:rFonts w:eastAsiaTheme="majorEastAsia" w:cstheme="majorBidi"/>
      <w:color w:val="003E74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4B89"/>
    <w:pPr>
      <w:keepNext/>
      <w:keepLines/>
      <w:numPr>
        <w:ilvl w:val="8"/>
        <w:numId w:val="33"/>
      </w:numPr>
      <w:spacing w:after="0"/>
      <w:ind w:left="2160"/>
      <w:outlineLvl w:val="2"/>
    </w:pPr>
    <w:rPr>
      <w:rFonts w:eastAsiaTheme="majorEastAsia" w:cstheme="majorBidi"/>
      <w:color w:val="003E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0206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6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468C"/>
  </w:style>
  <w:style w:type="paragraph" w:styleId="Header">
    <w:name w:val="header"/>
    <w:basedOn w:val="Normal"/>
    <w:link w:val="Head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6"/>
  </w:style>
  <w:style w:type="paragraph" w:styleId="Footer">
    <w:name w:val="footer"/>
    <w:basedOn w:val="Normal"/>
    <w:link w:val="Foot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B6"/>
  </w:style>
  <w:style w:type="character" w:customStyle="1" w:styleId="Heading6Char">
    <w:name w:val="Heading 6 Char"/>
    <w:basedOn w:val="DefaultParagraphFont"/>
    <w:link w:val="Heading6"/>
    <w:rsid w:val="009020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2F45"/>
    <w:rPr>
      <w:rFonts w:eastAsiaTheme="majorEastAsia" w:cstheme="majorBidi"/>
      <w:color w:val="003E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F45"/>
    <w:rPr>
      <w:rFonts w:eastAsiaTheme="majorEastAsia" w:cstheme="majorBidi"/>
      <w:color w:val="003E7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B89"/>
    <w:rPr>
      <w:rFonts w:eastAsiaTheme="majorEastAsia" w:cstheme="majorBidi"/>
      <w:color w:val="003E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7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7E7B"/>
    <w:pPr>
      <w:spacing w:after="0" w:line="240" w:lineRule="auto"/>
      <w:contextualSpacing/>
      <w:jc w:val="center"/>
    </w:pPr>
    <w:rPr>
      <w:rFonts w:eastAsiaTheme="majorEastAsia" w:cstheme="majorBidi"/>
      <w:color w:val="003E7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B7E7B"/>
    <w:rPr>
      <w:rFonts w:eastAsiaTheme="majorEastAsia" w:cstheme="majorBidi"/>
      <w:color w:val="003E74"/>
      <w:spacing w:val="-10"/>
      <w:kern w:val="28"/>
      <w:sz w:val="40"/>
      <w:szCs w:val="40"/>
    </w:rPr>
  </w:style>
  <w:style w:type="table" w:styleId="GridTable1Light">
    <w:name w:val="Grid Table 1 Light"/>
    <w:basedOn w:val="TableNormal"/>
    <w:uiPriority w:val="46"/>
    <w:rsid w:val="004F184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3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.mt.gov/bills/2019/billhtml/HB0658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g.mt.gov/bills/2015/billhtml/SB0405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.mt.gov/bills/mca/title_0390/chapter_0120/part_0010/sections_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E5F05F76E149846C569EA72249F8" ma:contentTypeVersion="13" ma:contentTypeDescription="Create a new document." ma:contentTypeScope="" ma:versionID="7f27c061746d73bb30271c09baafefa1">
  <xsd:schema xmlns:xsd="http://www.w3.org/2001/XMLSchema" xmlns:xs="http://www.w3.org/2001/XMLSchema" xmlns:p="http://schemas.microsoft.com/office/2006/metadata/properties" xmlns:ns1="http://schemas.microsoft.com/sharepoint/v3" xmlns:ns3="4c5035a6-c08d-4cfa-95e2-8c86041494ba" xmlns:ns4="e215018f-cf72-4101-b5da-959b194fd91f" targetNamespace="http://schemas.microsoft.com/office/2006/metadata/properties" ma:root="true" ma:fieldsID="9045d4d912ef5e5c2ce76d70449cdd81" ns1:_="" ns3:_="" ns4:_="">
    <xsd:import namespace="http://schemas.microsoft.com/sharepoint/v3"/>
    <xsd:import namespace="4c5035a6-c08d-4cfa-95e2-8c86041494ba"/>
    <xsd:import namespace="e215018f-cf72-4101-b5da-959b194fd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35a6-c08d-4cfa-95e2-8c860414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018f-cf72-4101-b5da-959b194f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81D9C-AF0C-4AEF-8A69-A7A92F2FA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24866-0BFB-4219-AC1A-70D91306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35a6-c08d-4cfa-95e2-8c86041494ba"/>
    <ds:schemaRef ds:uri="e215018f-cf72-4101-b5da-959b194f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64D3E-C037-45CD-AEAE-6D05A1D9B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CAF85-6844-48B0-BFD2-6833B8EB7601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4c5035a6-c08d-4cfa-95e2-8c86041494ba"/>
    <ds:schemaRef ds:uri="http://schemas.openxmlformats.org/package/2006/metadata/core-properties"/>
    <ds:schemaRef ds:uri="e215018f-cf72-4101-b5da-959b194fd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Link Policy</vt:lpstr>
    </vt:vector>
  </TitlesOfParts>
  <Company>MT DLI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Link Policy</dc:title>
  <dc:subject/>
  <dc:creator>Harris, Jennifer</dc:creator>
  <cp:keywords/>
  <dc:description/>
  <cp:lastModifiedBy>Westerhold, Jessi</cp:lastModifiedBy>
  <cp:revision>18</cp:revision>
  <cp:lastPrinted>2016-09-16T16:57:00Z</cp:lastPrinted>
  <dcterms:created xsi:type="dcterms:W3CDTF">2021-05-03T16:28:00Z</dcterms:created>
  <dcterms:modified xsi:type="dcterms:W3CDTF">2021-07-26T18:05:00Z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0x0101006E53E5F05F76E149846C569EA72249F8</vt:lpwstr>
  </property>
  <property fmtid="{D5CDD505-2E9C-101B-9397-08002B2CF9AE}" pid="3" name="_dlc_DocIdItemGuid">
    <vt:lpwstr>4247f4b7-2c0d-4d3e-b1b7-cf0dc7a2afb1</vt:lpwstr>
  </property>
</Properties>
</file>