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3547" w14:textId="1B1ECA04" w:rsidR="00934706" w:rsidRPr="00E6079C" w:rsidRDefault="00646F83" w:rsidP="00934706">
      <w:pPr>
        <w:spacing w:after="0" w:line="240" w:lineRule="auto"/>
        <w:rPr>
          <w:rFonts w:ascii="Franklin Gothic Book" w:hAnsi="Franklin Gothic Book"/>
          <w:b/>
          <w:sz w:val="20"/>
          <w:szCs w:val="20"/>
        </w:rPr>
      </w:pPr>
      <w:r w:rsidRPr="004C78A6">
        <w:rPr>
          <w:rFonts w:ascii="Franklin Gothic Book" w:hAnsi="Franklin Gothic Book"/>
          <w:noProof/>
        </w:rPr>
        <w:drawing>
          <wp:inline distT="0" distB="0" distL="0" distR="0" wp14:anchorId="7E0D9203" wp14:editId="69A78BFA">
            <wp:extent cx="6583680" cy="1602105"/>
            <wp:effectExtent l="0" t="0" r="7620" b="0"/>
            <wp:docPr id="1" name="Picture 1" descr="Logo for  Montana Department of Labor and Industry. The logo is several people hold hands around the center of a wheel." title="Montana Department of Labor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b.dli.mt.gov/dlitemplateslogos/DLI-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3680" cy="1602105"/>
                    </a:xfrm>
                    <a:prstGeom prst="rect">
                      <a:avLst/>
                    </a:prstGeom>
                    <a:noFill/>
                    <a:ln>
                      <a:noFill/>
                    </a:ln>
                  </pic:spPr>
                </pic:pic>
              </a:graphicData>
            </a:graphic>
          </wp:inline>
        </w:drawing>
      </w:r>
      <w:r w:rsidR="00934706" w:rsidRPr="00E6079C">
        <w:rPr>
          <w:rFonts w:ascii="Franklin Gothic Book" w:hAnsi="Franklin Gothic Book"/>
          <w:b/>
          <w:sz w:val="20"/>
          <w:szCs w:val="20"/>
        </w:rPr>
        <w:t>Division: Workforce Services Division</w:t>
      </w:r>
    </w:p>
    <w:p w14:paraId="6211AD06" w14:textId="77777777" w:rsidR="00934706" w:rsidRPr="00E6079C" w:rsidRDefault="00934706" w:rsidP="00934706">
      <w:pPr>
        <w:spacing w:after="0" w:line="240" w:lineRule="auto"/>
        <w:rPr>
          <w:rFonts w:ascii="Franklin Gothic Book" w:hAnsi="Franklin Gothic Book"/>
          <w:b/>
          <w:sz w:val="20"/>
          <w:szCs w:val="20"/>
        </w:rPr>
      </w:pPr>
      <w:r w:rsidRPr="00E6079C">
        <w:rPr>
          <w:rFonts w:ascii="Franklin Gothic Book" w:hAnsi="Franklin Gothic Book"/>
          <w:b/>
          <w:sz w:val="20"/>
          <w:szCs w:val="20"/>
        </w:rPr>
        <w:t>Category:</w:t>
      </w:r>
      <w:r w:rsidR="00E6079C" w:rsidRPr="00E6079C">
        <w:rPr>
          <w:rFonts w:ascii="Franklin Gothic Book" w:hAnsi="Franklin Gothic Book"/>
          <w:b/>
          <w:sz w:val="20"/>
          <w:szCs w:val="20"/>
        </w:rPr>
        <w:t xml:space="preserve"> </w:t>
      </w:r>
      <w:r w:rsidR="006B120F">
        <w:rPr>
          <w:rFonts w:ascii="Franklin Gothic Book" w:hAnsi="Franklin Gothic Book"/>
          <w:b/>
          <w:sz w:val="20"/>
          <w:szCs w:val="20"/>
        </w:rPr>
        <w:t>WIOA</w:t>
      </w:r>
    </w:p>
    <w:p w14:paraId="5B279CEA" w14:textId="71FD698B" w:rsidR="00934706" w:rsidRPr="00E6079C" w:rsidRDefault="00934706" w:rsidP="00934706">
      <w:pPr>
        <w:spacing w:after="0" w:line="240" w:lineRule="auto"/>
        <w:rPr>
          <w:rFonts w:ascii="Franklin Gothic Book" w:hAnsi="Franklin Gothic Book"/>
          <w:b/>
          <w:sz w:val="20"/>
          <w:szCs w:val="20"/>
        </w:rPr>
      </w:pPr>
      <w:r w:rsidRPr="00E6079C">
        <w:rPr>
          <w:rFonts w:ascii="Franklin Gothic Book" w:hAnsi="Franklin Gothic Book"/>
          <w:b/>
          <w:sz w:val="20"/>
          <w:szCs w:val="20"/>
        </w:rPr>
        <w:t xml:space="preserve">Effective Date: </w:t>
      </w:r>
      <w:r w:rsidR="00BB3281">
        <w:rPr>
          <w:rFonts w:ascii="Franklin Gothic Book" w:hAnsi="Franklin Gothic Book"/>
          <w:b/>
          <w:sz w:val="20"/>
          <w:szCs w:val="20"/>
        </w:rPr>
        <w:t>10/</w:t>
      </w:r>
      <w:r w:rsidR="00FA0571">
        <w:rPr>
          <w:rFonts w:ascii="Franklin Gothic Book" w:hAnsi="Franklin Gothic Book"/>
          <w:b/>
          <w:sz w:val="20"/>
          <w:szCs w:val="20"/>
        </w:rPr>
        <w:t>0</w:t>
      </w:r>
      <w:r w:rsidR="00BB3281">
        <w:rPr>
          <w:rFonts w:ascii="Franklin Gothic Book" w:hAnsi="Franklin Gothic Book"/>
          <w:b/>
          <w:sz w:val="20"/>
          <w:szCs w:val="20"/>
        </w:rPr>
        <w:t>1/2018</w:t>
      </w:r>
    </w:p>
    <w:p w14:paraId="19BB9FC4" w14:textId="0F3A3D5B" w:rsidR="00934706" w:rsidRPr="00E6079C" w:rsidRDefault="00934706" w:rsidP="00934706">
      <w:pPr>
        <w:spacing w:after="0" w:line="240" w:lineRule="auto"/>
        <w:rPr>
          <w:rFonts w:ascii="Franklin Gothic Book" w:hAnsi="Franklin Gothic Book"/>
          <w:b/>
          <w:sz w:val="20"/>
          <w:szCs w:val="20"/>
        </w:rPr>
      </w:pPr>
      <w:r w:rsidRPr="00E6079C">
        <w:rPr>
          <w:rFonts w:ascii="Franklin Gothic Book" w:hAnsi="Franklin Gothic Book"/>
          <w:b/>
          <w:sz w:val="20"/>
          <w:szCs w:val="20"/>
        </w:rPr>
        <w:t xml:space="preserve">Last Revised: </w:t>
      </w:r>
      <w:r w:rsidR="00FA0571">
        <w:rPr>
          <w:rFonts w:ascii="Franklin Gothic Book" w:hAnsi="Franklin Gothic Book"/>
          <w:b/>
          <w:sz w:val="20"/>
          <w:szCs w:val="20"/>
        </w:rPr>
        <w:t>10/01/2021</w:t>
      </w:r>
    </w:p>
    <w:p w14:paraId="4DECE51D" w14:textId="77777777" w:rsidR="00934706" w:rsidRPr="00E6079C" w:rsidRDefault="00934706" w:rsidP="00934706">
      <w:pPr>
        <w:spacing w:after="0" w:line="240" w:lineRule="auto"/>
        <w:rPr>
          <w:rFonts w:ascii="Franklin Gothic Book" w:hAnsi="Franklin Gothic Book"/>
          <w:b/>
          <w:sz w:val="20"/>
          <w:szCs w:val="20"/>
        </w:rPr>
      </w:pPr>
      <w:r w:rsidRPr="00E6079C">
        <w:rPr>
          <w:rFonts w:ascii="Franklin Gothic Book" w:hAnsi="Franklin Gothic Book"/>
          <w:b/>
          <w:sz w:val="20"/>
          <w:szCs w:val="20"/>
        </w:rPr>
        <w:t xml:space="preserve">Policy No.: </w:t>
      </w:r>
      <w:r w:rsidR="00BB3281">
        <w:rPr>
          <w:rFonts w:ascii="Franklin Gothic Book" w:hAnsi="Franklin Gothic Book"/>
          <w:b/>
          <w:sz w:val="20"/>
          <w:szCs w:val="20"/>
        </w:rPr>
        <w:t>23-18</w:t>
      </w:r>
    </w:p>
    <w:p w14:paraId="141E6B3F" w14:textId="77777777" w:rsidR="00934706" w:rsidRPr="002C7300" w:rsidRDefault="002C7300" w:rsidP="002C7300">
      <w:pPr>
        <w:pStyle w:val="Heading1"/>
        <w:jc w:val="left"/>
        <w:rPr>
          <w:b/>
        </w:rPr>
      </w:pPr>
      <w:r>
        <w:t xml:space="preserve">                  </w:t>
      </w:r>
      <w:r w:rsidR="006B120F" w:rsidRPr="002C7300">
        <w:t xml:space="preserve">Program Participation and Exit </w:t>
      </w:r>
      <w:r w:rsidR="00934706" w:rsidRPr="002C7300">
        <w:t>Policy</w:t>
      </w:r>
    </w:p>
    <w:p w14:paraId="508FE1C5" w14:textId="798F9DFB" w:rsidR="00E56A17" w:rsidRDefault="00F74A66" w:rsidP="007014C2">
      <w:pPr>
        <w:rPr>
          <w:rFonts w:ascii="Franklin Gothic Book" w:hAnsi="Franklin Gothic Book"/>
        </w:rPr>
      </w:pPr>
      <w:r w:rsidRPr="002C7300">
        <w:rPr>
          <w:rStyle w:val="Heading2Char"/>
        </w:rPr>
        <w:t>Background</w:t>
      </w:r>
      <w:r w:rsidR="003D67A0">
        <w:rPr>
          <w:rStyle w:val="Heading2Char"/>
        </w:rPr>
        <w:t>:</w:t>
      </w:r>
      <w:r w:rsidR="003D67A0">
        <w:rPr>
          <w:rFonts w:ascii="Franklin Gothic Book" w:hAnsi="Franklin Gothic Book"/>
        </w:rPr>
        <w:t xml:space="preserve">   </w:t>
      </w:r>
      <w:r w:rsidR="00E56A17">
        <w:rPr>
          <w:rFonts w:ascii="Franklin Gothic Book" w:hAnsi="Franklin Gothic Book"/>
        </w:rPr>
        <w:t xml:space="preserve">The Workforce Innovation and Opportunity Act (WIOA) is designed to help job seekers access employment, education, training, and support services to succeed in the labor market and to match employers with </w:t>
      </w:r>
      <w:r w:rsidR="00B455B6">
        <w:rPr>
          <w:rFonts w:ascii="Franklin Gothic Book" w:hAnsi="Franklin Gothic Book"/>
        </w:rPr>
        <w:t xml:space="preserve">the </w:t>
      </w:r>
      <w:r w:rsidR="00E56A17">
        <w:rPr>
          <w:rFonts w:ascii="Franklin Gothic Book" w:hAnsi="Franklin Gothic Book"/>
        </w:rPr>
        <w:t>skilled workers necessary to compete in a global economy.  This policy</w:t>
      </w:r>
      <w:r w:rsidR="002F786C">
        <w:rPr>
          <w:rFonts w:ascii="Franklin Gothic Book" w:hAnsi="Franklin Gothic Book"/>
        </w:rPr>
        <w:t xml:space="preserve"> clarifies definitions of reportable individual, participant, program exit, and period of participation</w:t>
      </w:r>
      <w:r w:rsidR="00B64666">
        <w:rPr>
          <w:rFonts w:ascii="Franklin Gothic Book" w:hAnsi="Franklin Gothic Book"/>
        </w:rPr>
        <w:t xml:space="preserve"> </w:t>
      </w:r>
      <w:r w:rsidR="0034024E">
        <w:rPr>
          <w:rFonts w:ascii="Franklin Gothic Book" w:hAnsi="Franklin Gothic Book"/>
        </w:rPr>
        <w:t xml:space="preserve">as they align with </w:t>
      </w:r>
      <w:r w:rsidR="002F786C">
        <w:rPr>
          <w:rFonts w:ascii="Franklin Gothic Book" w:hAnsi="Franklin Gothic Book"/>
        </w:rPr>
        <w:t xml:space="preserve">Montana Labor &amp; Industry’s (MDLI) WIOA performance </w:t>
      </w:r>
      <w:r w:rsidR="008F6466">
        <w:rPr>
          <w:rFonts w:ascii="Franklin Gothic Book" w:hAnsi="Franklin Gothic Book"/>
        </w:rPr>
        <w:t>in</w:t>
      </w:r>
      <w:r w:rsidR="002F786C">
        <w:rPr>
          <w:rFonts w:ascii="Franklin Gothic Book" w:hAnsi="Franklin Gothic Book"/>
        </w:rPr>
        <w:t xml:space="preserve"> achieving </w:t>
      </w:r>
      <w:r w:rsidR="008F6466">
        <w:rPr>
          <w:rFonts w:ascii="Franklin Gothic Book" w:hAnsi="Franklin Gothic Book"/>
        </w:rPr>
        <w:t>positive</w:t>
      </w:r>
      <w:r w:rsidR="002F786C">
        <w:rPr>
          <w:rFonts w:ascii="Franklin Gothic Book" w:hAnsi="Franklin Gothic Book"/>
        </w:rPr>
        <w:t xml:space="preserve"> outcomes for individuals served by the workforce development system’s core programs.</w:t>
      </w:r>
    </w:p>
    <w:p w14:paraId="1B1D2590" w14:textId="097F3634" w:rsidR="00A86AF1" w:rsidRPr="00E6079C" w:rsidRDefault="00A86AF1" w:rsidP="007014C2">
      <w:r w:rsidRPr="002C7300">
        <w:rPr>
          <w:rStyle w:val="Heading2Char"/>
        </w:rPr>
        <w:t>Scope</w:t>
      </w:r>
      <w:r w:rsidRPr="00FB6224">
        <w:rPr>
          <w:rStyle w:val="Heading2Char"/>
        </w:rPr>
        <w:t>:</w:t>
      </w:r>
      <w:r w:rsidR="007014C2" w:rsidRPr="00FB6224">
        <w:rPr>
          <w:rFonts w:ascii="Franklin Gothic Book" w:hAnsi="Franklin Gothic Book"/>
        </w:rPr>
        <w:t xml:space="preserve"> This policy applies to all service providers operating WIOA Title I </w:t>
      </w:r>
      <w:r w:rsidR="00F05650">
        <w:rPr>
          <w:rFonts w:ascii="Franklin Gothic Book" w:hAnsi="Franklin Gothic Book"/>
        </w:rPr>
        <w:t>Adult, Dislocated Worker</w:t>
      </w:r>
      <w:r w:rsidR="00806468">
        <w:rPr>
          <w:rFonts w:ascii="Franklin Gothic Book" w:hAnsi="Franklin Gothic Book"/>
        </w:rPr>
        <w:t xml:space="preserve"> or National Dislocated Worker Grants</w:t>
      </w:r>
      <w:r w:rsidR="00EA488B">
        <w:rPr>
          <w:rFonts w:ascii="Franklin Gothic Book" w:hAnsi="Franklin Gothic Book"/>
        </w:rPr>
        <w:t>,</w:t>
      </w:r>
      <w:r w:rsidR="00F05650">
        <w:rPr>
          <w:rFonts w:ascii="Franklin Gothic Book" w:hAnsi="Franklin Gothic Book"/>
        </w:rPr>
        <w:t xml:space="preserve"> and/or Youth programs</w:t>
      </w:r>
      <w:r w:rsidR="00EA488B">
        <w:rPr>
          <w:rFonts w:ascii="Franklin Gothic Book" w:hAnsi="Franklin Gothic Book"/>
        </w:rPr>
        <w:t>;</w:t>
      </w:r>
      <w:r w:rsidR="00F05650">
        <w:rPr>
          <w:rFonts w:ascii="Franklin Gothic Book" w:hAnsi="Franklin Gothic Book"/>
        </w:rPr>
        <w:t xml:space="preserve"> </w:t>
      </w:r>
      <w:r w:rsidR="00EA488B">
        <w:rPr>
          <w:rFonts w:ascii="Franklin Gothic Book" w:hAnsi="Franklin Gothic Book"/>
        </w:rPr>
        <w:t>and</w:t>
      </w:r>
      <w:r w:rsidR="00412EBC">
        <w:rPr>
          <w:rFonts w:ascii="Franklin Gothic Book" w:hAnsi="Franklin Gothic Book"/>
        </w:rPr>
        <w:t xml:space="preserve"> </w:t>
      </w:r>
      <w:r w:rsidR="00F05650">
        <w:rPr>
          <w:rFonts w:ascii="Franklin Gothic Book" w:hAnsi="Franklin Gothic Book"/>
        </w:rPr>
        <w:t xml:space="preserve">Wagner </w:t>
      </w:r>
      <w:proofErr w:type="spellStart"/>
      <w:r w:rsidR="00F05650">
        <w:rPr>
          <w:rFonts w:ascii="Franklin Gothic Book" w:hAnsi="Franklin Gothic Book"/>
        </w:rPr>
        <w:t>Peyser’s</w:t>
      </w:r>
      <w:proofErr w:type="spellEnd"/>
      <w:r w:rsidR="00F05650">
        <w:rPr>
          <w:rFonts w:ascii="Franklin Gothic Book" w:hAnsi="Franklin Gothic Book"/>
        </w:rPr>
        <w:t xml:space="preserve"> Employment Service program as amended by WIOA </w:t>
      </w:r>
      <w:r w:rsidR="00412EBC">
        <w:rPr>
          <w:rFonts w:ascii="Franklin Gothic Book" w:hAnsi="Franklin Gothic Book"/>
        </w:rPr>
        <w:t>Title III</w:t>
      </w:r>
      <w:r w:rsidR="00F05650">
        <w:rPr>
          <w:rFonts w:ascii="Franklin Gothic Book" w:hAnsi="Franklin Gothic Book"/>
        </w:rPr>
        <w:t xml:space="preserve">; </w:t>
      </w:r>
      <w:r w:rsidR="007014C2" w:rsidRPr="00FB6224">
        <w:rPr>
          <w:rFonts w:ascii="Franklin Gothic Book" w:hAnsi="Franklin Gothic Book"/>
        </w:rPr>
        <w:t xml:space="preserve">WIOA Title I </w:t>
      </w:r>
      <w:r w:rsidR="00412EBC">
        <w:rPr>
          <w:rFonts w:ascii="Franklin Gothic Book" w:hAnsi="Franklin Gothic Book"/>
        </w:rPr>
        <w:t xml:space="preserve">or Title III </w:t>
      </w:r>
      <w:r w:rsidR="007014C2" w:rsidRPr="00FB6224">
        <w:rPr>
          <w:rFonts w:ascii="Franklin Gothic Book" w:hAnsi="Franklin Gothic Book"/>
        </w:rPr>
        <w:t>program managers</w:t>
      </w:r>
      <w:r w:rsidR="00F05650">
        <w:rPr>
          <w:rFonts w:ascii="Franklin Gothic Book" w:hAnsi="Franklin Gothic Book"/>
        </w:rPr>
        <w:t>;</w:t>
      </w:r>
      <w:r w:rsidR="00F05650" w:rsidRPr="00FB6224">
        <w:rPr>
          <w:rFonts w:ascii="Franklin Gothic Book" w:hAnsi="Franklin Gothic Book"/>
        </w:rPr>
        <w:t xml:space="preserve"> </w:t>
      </w:r>
      <w:r w:rsidR="007014C2" w:rsidRPr="00FB6224">
        <w:rPr>
          <w:rFonts w:ascii="Franklin Gothic Book" w:hAnsi="Franklin Gothic Book"/>
        </w:rPr>
        <w:t>WIOA fiscal officers</w:t>
      </w:r>
      <w:r w:rsidR="00F05650">
        <w:rPr>
          <w:rFonts w:ascii="Franklin Gothic Book" w:hAnsi="Franklin Gothic Book"/>
        </w:rPr>
        <w:t>;</w:t>
      </w:r>
      <w:r w:rsidR="00F05650" w:rsidRPr="00FB6224">
        <w:rPr>
          <w:rFonts w:ascii="Franklin Gothic Book" w:hAnsi="Franklin Gothic Book"/>
        </w:rPr>
        <w:t xml:space="preserve"> </w:t>
      </w:r>
      <w:r w:rsidR="007014C2" w:rsidRPr="00FB6224">
        <w:rPr>
          <w:rFonts w:ascii="Franklin Gothic Book" w:hAnsi="Franklin Gothic Book"/>
        </w:rPr>
        <w:t xml:space="preserve">and the WIOA monitoring team. This policy is effective </w:t>
      </w:r>
      <w:r w:rsidR="003D67A0">
        <w:rPr>
          <w:rFonts w:ascii="Franklin Gothic Book" w:hAnsi="Franklin Gothic Book"/>
        </w:rPr>
        <w:t>January 1, 2020</w:t>
      </w:r>
      <w:r w:rsidR="00B8061A">
        <w:rPr>
          <w:rFonts w:ascii="Franklin Gothic Book" w:hAnsi="Franklin Gothic Book"/>
        </w:rPr>
        <w:t>.</w:t>
      </w:r>
    </w:p>
    <w:p w14:paraId="4836B9D6" w14:textId="77777777" w:rsidR="00CD0872" w:rsidRPr="00E6079C" w:rsidRDefault="00CD0872" w:rsidP="002C7300">
      <w:pPr>
        <w:pStyle w:val="Heading2"/>
      </w:pPr>
      <w:r w:rsidRPr="002C7300">
        <w:t>Policy</w:t>
      </w:r>
      <w:r w:rsidRPr="00E6079C">
        <w:t>:</w:t>
      </w:r>
    </w:p>
    <w:p w14:paraId="47C88FF2" w14:textId="77777777" w:rsidR="00666B37" w:rsidRDefault="00666B37" w:rsidP="00666B37">
      <w:pPr>
        <w:pStyle w:val="Heading3"/>
      </w:pPr>
      <w:r>
        <w:t>Reportable Individuals:</w:t>
      </w:r>
    </w:p>
    <w:p w14:paraId="74470A75" w14:textId="636581BA" w:rsidR="00666B37" w:rsidRPr="00666B37" w:rsidRDefault="00666B37" w:rsidP="0018261A">
      <w:pPr>
        <w:pStyle w:val="ListParagraph"/>
      </w:pPr>
      <w:r w:rsidRPr="00804078">
        <w:t xml:space="preserve">Reportable Individuals engage with the workforce system on an initial level but do not </w:t>
      </w:r>
      <w:r w:rsidR="006712B1">
        <w:t>meet</w:t>
      </w:r>
      <w:r w:rsidRPr="00804078">
        <w:t xml:space="preserve"> </w:t>
      </w:r>
      <w:r w:rsidR="0088435E">
        <w:t xml:space="preserve">program </w:t>
      </w:r>
      <w:r w:rsidRPr="00804078">
        <w:t xml:space="preserve">requirements </w:t>
      </w:r>
      <w:r w:rsidR="0088435E">
        <w:t>for eligibility or for</w:t>
      </w:r>
      <w:r w:rsidRPr="00804078">
        <w:t xml:space="preserve"> </w:t>
      </w:r>
      <w:r w:rsidR="0088435E">
        <w:t>particip</w:t>
      </w:r>
      <w:r w:rsidR="006712B1">
        <w:t>a</w:t>
      </w:r>
      <w:r w:rsidR="0088435E">
        <w:t>tion</w:t>
      </w:r>
      <w:r w:rsidRPr="00804078">
        <w:t xml:space="preserve">. They are </w:t>
      </w:r>
      <w:r w:rsidR="00426CB4">
        <w:t>individuals</w:t>
      </w:r>
      <w:r w:rsidR="00426CB4" w:rsidRPr="00804078">
        <w:t xml:space="preserve"> </w:t>
      </w:r>
      <w:r w:rsidRPr="00804078">
        <w:t>who:</w:t>
      </w:r>
    </w:p>
    <w:p w14:paraId="646918A6" w14:textId="7FA2D4D2" w:rsidR="00666B37" w:rsidRDefault="00666B37" w:rsidP="0018261A">
      <w:pPr>
        <w:pStyle w:val="ListParagraph"/>
      </w:pPr>
      <w:r>
        <w:t>Provide identifying information</w:t>
      </w:r>
      <w:r w:rsidR="00B455B6">
        <w:t xml:space="preserve"> and</w:t>
      </w:r>
    </w:p>
    <w:p w14:paraId="2EE372BF" w14:textId="77777777" w:rsidR="00666B37" w:rsidRDefault="00666B37" w:rsidP="0018261A">
      <w:pPr>
        <w:pStyle w:val="ListParagraph"/>
        <w:numPr>
          <w:ilvl w:val="0"/>
          <w:numId w:val="9"/>
        </w:numPr>
      </w:pPr>
      <w:r>
        <w:t>Only use self-service;</w:t>
      </w:r>
      <w:r w:rsidR="00B455B6">
        <w:t xml:space="preserve"> or</w:t>
      </w:r>
    </w:p>
    <w:p w14:paraId="667CCC0C" w14:textId="4B538A5C" w:rsidR="00666B37" w:rsidRDefault="00666B37" w:rsidP="0018261A">
      <w:pPr>
        <w:pStyle w:val="ListParagraph"/>
        <w:numPr>
          <w:ilvl w:val="0"/>
          <w:numId w:val="9"/>
        </w:numPr>
      </w:pPr>
      <w:r>
        <w:t>Only receive information-only services or activities</w:t>
      </w:r>
      <w:r w:rsidR="00B8061A">
        <w:t>.</w:t>
      </w:r>
    </w:p>
    <w:p w14:paraId="5CACDFF2" w14:textId="4DB37E6A" w:rsidR="00FB6224" w:rsidRDefault="00FB6224" w:rsidP="0018261A">
      <w:pPr>
        <w:pStyle w:val="ListParagraph"/>
      </w:pPr>
      <w:r w:rsidRPr="00804078">
        <w:t xml:space="preserve">Reportable individuals do not have performance goals and cannot be used to impose sanctions on the </w:t>
      </w:r>
      <w:r w:rsidR="008F6466">
        <w:t>s</w:t>
      </w:r>
      <w:r w:rsidR="008F6466" w:rsidRPr="00804078">
        <w:t>tate</w:t>
      </w:r>
      <w:r w:rsidRPr="00804078">
        <w:t xml:space="preserve">. Reportable Individuals will be tracked and reported </w:t>
      </w:r>
      <w:r w:rsidR="00426CB4">
        <w:t xml:space="preserve">in MDLI’s annual performance reports </w:t>
      </w:r>
      <w:r w:rsidRPr="00804078">
        <w:t>but do not help or hurt performance.</w:t>
      </w:r>
    </w:p>
    <w:p w14:paraId="0B17E483" w14:textId="682BB2C8" w:rsidR="00FB6224" w:rsidRDefault="00426CB4" w:rsidP="0018261A">
      <w:pPr>
        <w:pStyle w:val="ListParagraph"/>
        <w:numPr>
          <w:ilvl w:val="0"/>
          <w:numId w:val="6"/>
        </w:numPr>
      </w:pPr>
      <w:r>
        <w:t>Participant</w:t>
      </w:r>
      <w:r w:rsidR="0034024E">
        <w:t>:</w:t>
      </w:r>
      <w:r w:rsidR="00045945">
        <w:t xml:space="preserve"> </w:t>
      </w:r>
      <w:r w:rsidR="00905CD7" w:rsidRPr="00172586">
        <w:t>WIOA Title I</w:t>
      </w:r>
      <w:r w:rsidR="00B455B6">
        <w:t>, Adult and Dislocated Worker</w:t>
      </w:r>
      <w:r w:rsidR="00905CD7" w:rsidRPr="00172586">
        <w:t xml:space="preserve"> and Title III</w:t>
      </w:r>
      <w:r w:rsidR="00302885">
        <w:t>,</w:t>
      </w:r>
      <w:r w:rsidR="00302885" w:rsidRPr="00172586">
        <w:t xml:space="preserve"> </w:t>
      </w:r>
      <w:r w:rsidR="00FB6224" w:rsidRPr="00172586">
        <w:t>Wagner-Peyser:</w:t>
      </w:r>
      <w:r w:rsidR="00172586" w:rsidRPr="00172586">
        <w:t xml:space="preserve"> </w:t>
      </w:r>
      <w:r w:rsidR="007A16F6">
        <w:t>A</w:t>
      </w:r>
      <w:r w:rsidR="00FB6224" w:rsidRPr="00804078">
        <w:t xml:space="preserve"> reportable individual who has received services other than self-service or informational-only services</w:t>
      </w:r>
      <w:r w:rsidR="00B455B6">
        <w:t xml:space="preserve"> </w:t>
      </w:r>
      <w:r w:rsidR="00FB6224" w:rsidRPr="00804078">
        <w:t xml:space="preserve"> and meets all program requirements such as </w:t>
      </w:r>
      <w:r w:rsidR="00FB6224" w:rsidRPr="003D67A0">
        <w:t>eligibility</w:t>
      </w:r>
      <w:r w:rsidR="00B455B6" w:rsidRPr="003D67A0">
        <w:t xml:space="preserve"> and the provision of </w:t>
      </w:r>
      <w:r w:rsidR="00130DE4" w:rsidRPr="003D67A0">
        <w:t xml:space="preserve">certain </w:t>
      </w:r>
      <w:r w:rsidR="00B455B6" w:rsidRPr="003D67A0">
        <w:t xml:space="preserve">demographic and other data </w:t>
      </w:r>
      <w:proofErr w:type="gramStart"/>
      <w:r w:rsidR="00B455B6" w:rsidRPr="003D67A0">
        <w:t>elements.</w:t>
      </w:r>
      <w:r w:rsidR="00FB6224" w:rsidRPr="00804078">
        <w:t>.</w:t>
      </w:r>
      <w:proofErr w:type="gramEnd"/>
    </w:p>
    <w:p w14:paraId="3AD51C91" w14:textId="3D2E4487" w:rsidR="00FB6224" w:rsidRDefault="00B455B6" w:rsidP="0018261A">
      <w:pPr>
        <w:pStyle w:val="ListParagraph"/>
      </w:pPr>
      <w:r>
        <w:t xml:space="preserve">WIOA Title I, Youth: </w:t>
      </w:r>
      <w:r w:rsidR="00322F8B">
        <w:t xml:space="preserve">A </w:t>
      </w:r>
      <w:r w:rsidR="00FB6224" w:rsidRPr="00804078">
        <w:t xml:space="preserve">reportable individual who has satisfied all applicable program requirements for the provision of services, including </w:t>
      </w:r>
      <w:r w:rsidR="00FB6224" w:rsidRPr="00172586">
        <w:t>eligibility determination</w:t>
      </w:r>
      <w:r w:rsidR="00FB6224" w:rsidRPr="00804078">
        <w:t xml:space="preserve">, an objective assessment, development of an </w:t>
      </w:r>
      <w:r w:rsidR="00172586">
        <w:t>Individual Service Strategy (</w:t>
      </w:r>
      <w:r w:rsidR="00FB6224" w:rsidRPr="00804078">
        <w:t>ISS</w:t>
      </w:r>
      <w:r w:rsidR="00172586">
        <w:t>)</w:t>
      </w:r>
      <w:r w:rsidR="00FB6224" w:rsidRPr="00804078">
        <w:t xml:space="preserve">, and received one or more of the 14 </w:t>
      </w:r>
      <w:r w:rsidR="00172586">
        <w:t xml:space="preserve">WIOA </w:t>
      </w:r>
      <w:r w:rsidR="00FB6224" w:rsidRPr="00804078">
        <w:t xml:space="preserve">Youth </w:t>
      </w:r>
      <w:r w:rsidR="00172586">
        <w:t>p</w:t>
      </w:r>
      <w:r w:rsidR="00FB6224" w:rsidRPr="00804078">
        <w:t xml:space="preserve">rogram </w:t>
      </w:r>
      <w:r w:rsidR="00172586">
        <w:t>e</w:t>
      </w:r>
      <w:r w:rsidR="00FB6224" w:rsidRPr="00804078">
        <w:t>lements.</w:t>
      </w:r>
    </w:p>
    <w:p w14:paraId="1CB5C7DC" w14:textId="77777777" w:rsidR="00FB6224" w:rsidRPr="003D67A0" w:rsidRDefault="0054476B" w:rsidP="0018261A">
      <w:pPr>
        <w:pStyle w:val="ListParagraph"/>
        <w:numPr>
          <w:ilvl w:val="0"/>
          <w:numId w:val="8"/>
        </w:numPr>
      </w:pPr>
      <w:r w:rsidRPr="003D67A0">
        <w:t xml:space="preserve">Participants </w:t>
      </w:r>
      <w:r w:rsidR="00FB6224" w:rsidRPr="003D67A0">
        <w:t xml:space="preserve">are </w:t>
      </w:r>
      <w:r w:rsidR="00905CD7" w:rsidRPr="003D67A0">
        <w:t>included in performance outcomes</w:t>
      </w:r>
      <w:r w:rsidR="00FB6224" w:rsidRPr="003D67A0">
        <w:t xml:space="preserve">.  </w:t>
      </w:r>
      <w:r w:rsidRPr="003D67A0">
        <w:t>Performance indicators are based on participant experience upon exit from or, as applicable, during participation in a program.</w:t>
      </w:r>
    </w:p>
    <w:p w14:paraId="04C10CF4" w14:textId="77777777" w:rsidR="00FB6224" w:rsidRDefault="00FB6224" w:rsidP="00FB6224">
      <w:pPr>
        <w:pStyle w:val="Heading3"/>
      </w:pPr>
      <w:r>
        <w:lastRenderedPageBreak/>
        <w:t>Exit:</w:t>
      </w:r>
    </w:p>
    <w:p w14:paraId="7D1AB1CC" w14:textId="61A3D36B" w:rsidR="00FB6224" w:rsidRDefault="00FB6224" w:rsidP="0018261A">
      <w:pPr>
        <w:pStyle w:val="ListParagraph"/>
      </w:pPr>
      <w:r w:rsidRPr="00804078">
        <w:t xml:space="preserve">The date of exit cannot be determined until 90 days have elapsed since the </w:t>
      </w:r>
      <w:r w:rsidR="00302885">
        <w:t>participant</w:t>
      </w:r>
      <w:r w:rsidR="00302885" w:rsidRPr="00804078">
        <w:t xml:space="preserve"> </w:t>
      </w:r>
      <w:r w:rsidRPr="00804078">
        <w:t xml:space="preserve">last received </w:t>
      </w:r>
      <w:r w:rsidR="00C064BE">
        <w:t xml:space="preserve">a countable </w:t>
      </w:r>
      <w:r w:rsidRPr="00804078">
        <w:t>service and no services are planned for the future. The exit date is applied retroactively to the last service date.</w:t>
      </w:r>
    </w:p>
    <w:p w14:paraId="0423D20E" w14:textId="5817163B" w:rsidR="008F03A0" w:rsidRPr="00FB6224" w:rsidRDefault="008F03A0" w:rsidP="0018261A">
      <w:pPr>
        <w:pStyle w:val="ListParagraph"/>
      </w:pPr>
      <w:r>
        <w:t>S</w:t>
      </w:r>
      <w:r w:rsidRPr="00804078">
        <w:t>elf-service, information</w:t>
      </w:r>
      <w:r w:rsidR="000809C4">
        <w:t>-</w:t>
      </w:r>
      <w:r w:rsidRPr="00804078">
        <w:t xml:space="preserve">only services or activities, </w:t>
      </w:r>
      <w:r>
        <w:t>and</w:t>
      </w:r>
      <w:r w:rsidRPr="00804078">
        <w:t xml:space="preserve"> follow-up services do not delay, postpone or affect the date of exit. </w:t>
      </w:r>
    </w:p>
    <w:p w14:paraId="6D3E08C6" w14:textId="77777777" w:rsidR="00546174" w:rsidRPr="002C7300" w:rsidRDefault="00E162BA" w:rsidP="002C7300">
      <w:pPr>
        <w:pStyle w:val="Heading2"/>
      </w:pPr>
      <w:r w:rsidRPr="002C7300">
        <w:t>Monitoring and Evaluation:</w:t>
      </w:r>
    </w:p>
    <w:p w14:paraId="7FE37BC7" w14:textId="235FFF7D" w:rsidR="00E162BA" w:rsidRPr="00E6079C" w:rsidRDefault="008B187F" w:rsidP="0018261A">
      <w:pPr>
        <w:pStyle w:val="ListParagraph"/>
      </w:pPr>
      <w:r>
        <w:t>A formal monitoring will be conducted by the entity designated by S</w:t>
      </w:r>
      <w:r w:rsidR="006712B1">
        <w:t xml:space="preserve">tate </w:t>
      </w:r>
      <w:r>
        <w:t>W</w:t>
      </w:r>
      <w:r w:rsidR="006712B1">
        <w:t xml:space="preserve">orkforce </w:t>
      </w:r>
      <w:r>
        <w:t>I</w:t>
      </w:r>
      <w:r w:rsidR="006712B1">
        <w:t xml:space="preserve">nnovation </w:t>
      </w:r>
      <w:r>
        <w:t>B</w:t>
      </w:r>
      <w:r w:rsidR="006712B1">
        <w:t>oard (SWIB)</w:t>
      </w:r>
      <w:r>
        <w:t>.</w:t>
      </w:r>
    </w:p>
    <w:p w14:paraId="55107834" w14:textId="77777777" w:rsidR="00BA2137" w:rsidRPr="002C7300" w:rsidRDefault="00BA2137" w:rsidP="002C7300">
      <w:pPr>
        <w:pStyle w:val="Heading2"/>
      </w:pPr>
      <w:r w:rsidRPr="002C7300">
        <w:t>R</w:t>
      </w:r>
      <w:r w:rsidR="0050171B" w:rsidRPr="002C7300">
        <w:t>eferences</w:t>
      </w:r>
      <w:r w:rsidRPr="002C7300">
        <w:t>:</w:t>
      </w:r>
    </w:p>
    <w:p w14:paraId="73E046EB" w14:textId="3CB2B65C" w:rsidR="00844B80" w:rsidRPr="0018261A" w:rsidRDefault="00814BD6" w:rsidP="0018261A">
      <w:pPr>
        <w:pStyle w:val="ListParagraph"/>
        <w:rPr>
          <w:rStyle w:val="Hyperlink"/>
          <w:color w:val="auto"/>
          <w:u w:val="none"/>
        </w:rPr>
      </w:pPr>
      <w:hyperlink r:id="rId12" w:history="1">
        <w:r w:rsidR="008B187F" w:rsidRPr="0054476B">
          <w:rPr>
            <w:rStyle w:val="Hyperlink"/>
          </w:rPr>
          <w:t>TEGL 10-16 Change 1, Performance Accountability Guidance</w:t>
        </w:r>
      </w:hyperlink>
    </w:p>
    <w:p w14:paraId="2F0ACB87" w14:textId="79D14CF2" w:rsidR="0018261A" w:rsidRPr="00E6079C" w:rsidRDefault="0018261A" w:rsidP="0018261A">
      <w:pPr>
        <w:pStyle w:val="ListParagraph"/>
      </w:pPr>
      <w:hyperlink r:id="rId13" w:history="1">
        <w:r w:rsidRPr="001516C9">
          <w:rPr>
            <w:rStyle w:val="Hyperlink"/>
          </w:rPr>
          <w:t xml:space="preserve">TEGL 14-18 Aligning Performance </w:t>
        </w:r>
        <w:proofErr w:type="spellStart"/>
        <w:r w:rsidRPr="001516C9">
          <w:rPr>
            <w:rStyle w:val="Hyperlink"/>
          </w:rPr>
          <w:t>Accountibility</w:t>
        </w:r>
        <w:proofErr w:type="spellEnd"/>
        <w:r w:rsidRPr="001516C9">
          <w:rPr>
            <w:rStyle w:val="Hyperlink"/>
          </w:rPr>
          <w:t xml:space="preserve"> Reporting, Definitions, and Policies</w:t>
        </w:r>
      </w:hyperlink>
    </w:p>
    <w:sectPr w:rsidR="0018261A" w:rsidRPr="00E6079C" w:rsidSect="002C7300">
      <w:footerReference w:type="default" r:id="rId14"/>
      <w:pgSz w:w="12240" w:h="15840"/>
      <w:pgMar w:top="720" w:right="720"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DD72" w14:textId="77777777" w:rsidR="00814BD6" w:rsidRDefault="00814BD6" w:rsidP="00D52DB6">
      <w:pPr>
        <w:spacing w:after="0" w:line="240" w:lineRule="auto"/>
      </w:pPr>
      <w:r>
        <w:separator/>
      </w:r>
    </w:p>
  </w:endnote>
  <w:endnote w:type="continuationSeparator" w:id="0">
    <w:p w14:paraId="5873EC75" w14:textId="77777777" w:rsidR="00814BD6" w:rsidRDefault="00814BD6" w:rsidP="00D5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71965"/>
      <w:docPartObj>
        <w:docPartGallery w:val="Page Numbers (Bottom of Page)"/>
        <w:docPartUnique/>
      </w:docPartObj>
    </w:sdtPr>
    <w:sdtEndPr>
      <w:rPr>
        <w:noProof/>
      </w:rPr>
    </w:sdtEndPr>
    <w:sdtContent>
      <w:p w14:paraId="53A5932D" w14:textId="77777777" w:rsidR="00D52DB6" w:rsidRDefault="00D52DB6">
        <w:pPr>
          <w:pStyle w:val="Footer"/>
          <w:jc w:val="right"/>
        </w:pPr>
        <w:r>
          <w:fldChar w:fldCharType="begin"/>
        </w:r>
        <w:r>
          <w:instrText xml:space="preserve"> PAGE   \* MERGEFORMAT </w:instrText>
        </w:r>
        <w:r>
          <w:fldChar w:fldCharType="separate"/>
        </w:r>
        <w:r w:rsidR="00CD661B">
          <w:rPr>
            <w:noProof/>
          </w:rPr>
          <w:t>2</w:t>
        </w:r>
        <w:r>
          <w:rPr>
            <w:noProof/>
          </w:rPr>
          <w:fldChar w:fldCharType="end"/>
        </w:r>
      </w:p>
    </w:sdtContent>
  </w:sdt>
  <w:p w14:paraId="120C16B8" w14:textId="77777777" w:rsidR="00D52DB6" w:rsidRDefault="00D5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320E" w14:textId="77777777" w:rsidR="00814BD6" w:rsidRDefault="00814BD6" w:rsidP="00D52DB6">
      <w:pPr>
        <w:spacing w:after="0" w:line="240" w:lineRule="auto"/>
      </w:pPr>
      <w:r>
        <w:separator/>
      </w:r>
    </w:p>
  </w:footnote>
  <w:footnote w:type="continuationSeparator" w:id="0">
    <w:p w14:paraId="2465391F" w14:textId="77777777" w:rsidR="00814BD6" w:rsidRDefault="00814BD6" w:rsidP="00D52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FF1"/>
    <w:multiLevelType w:val="hybridMultilevel"/>
    <w:tmpl w:val="1EB8B852"/>
    <w:lvl w:ilvl="0" w:tplc="ACE20D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66888"/>
    <w:multiLevelType w:val="hybridMultilevel"/>
    <w:tmpl w:val="0F14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83F18"/>
    <w:multiLevelType w:val="hybridMultilevel"/>
    <w:tmpl w:val="9FD8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66FBF"/>
    <w:multiLevelType w:val="hybridMultilevel"/>
    <w:tmpl w:val="6FE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72332"/>
    <w:multiLevelType w:val="hybridMultilevel"/>
    <w:tmpl w:val="0232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0263A"/>
    <w:multiLevelType w:val="hybridMultilevel"/>
    <w:tmpl w:val="4F667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7746CC"/>
    <w:multiLevelType w:val="hybridMultilevel"/>
    <w:tmpl w:val="754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C2EBE"/>
    <w:multiLevelType w:val="hybridMultilevel"/>
    <w:tmpl w:val="EB3CE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E354A"/>
    <w:multiLevelType w:val="hybridMultilevel"/>
    <w:tmpl w:val="91E688A0"/>
    <w:lvl w:ilvl="0" w:tplc="D30E7E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8"/>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CA"/>
    <w:rsid w:val="000205A8"/>
    <w:rsid w:val="000329BD"/>
    <w:rsid w:val="00045945"/>
    <w:rsid w:val="000809C4"/>
    <w:rsid w:val="000A0C9B"/>
    <w:rsid w:val="000C6D81"/>
    <w:rsid w:val="000E7C81"/>
    <w:rsid w:val="0011177D"/>
    <w:rsid w:val="00130DE4"/>
    <w:rsid w:val="00172586"/>
    <w:rsid w:val="0018261A"/>
    <w:rsid w:val="0019559B"/>
    <w:rsid w:val="001A39BD"/>
    <w:rsid w:val="001E7B20"/>
    <w:rsid w:val="0023097C"/>
    <w:rsid w:val="00230D20"/>
    <w:rsid w:val="00261813"/>
    <w:rsid w:val="00297E7D"/>
    <w:rsid w:val="002A4A6F"/>
    <w:rsid w:val="002B51FA"/>
    <w:rsid w:val="002C3AF7"/>
    <w:rsid w:val="002C7300"/>
    <w:rsid w:val="002F786C"/>
    <w:rsid w:val="00302885"/>
    <w:rsid w:val="00302CDC"/>
    <w:rsid w:val="00322F8B"/>
    <w:rsid w:val="0034024E"/>
    <w:rsid w:val="00374B80"/>
    <w:rsid w:val="00380B06"/>
    <w:rsid w:val="003A13BA"/>
    <w:rsid w:val="003D36CE"/>
    <w:rsid w:val="003D67A0"/>
    <w:rsid w:val="004024EE"/>
    <w:rsid w:val="004072D7"/>
    <w:rsid w:val="00412EBC"/>
    <w:rsid w:val="00426668"/>
    <w:rsid w:val="00426CB4"/>
    <w:rsid w:val="00435E0E"/>
    <w:rsid w:val="00477D78"/>
    <w:rsid w:val="004C78A6"/>
    <w:rsid w:val="0050171B"/>
    <w:rsid w:val="0054476B"/>
    <w:rsid w:val="00545219"/>
    <w:rsid w:val="00546174"/>
    <w:rsid w:val="00556E57"/>
    <w:rsid w:val="00566E1F"/>
    <w:rsid w:val="00573A3C"/>
    <w:rsid w:val="005851F6"/>
    <w:rsid w:val="005A46FD"/>
    <w:rsid w:val="005D6921"/>
    <w:rsid w:val="00646F83"/>
    <w:rsid w:val="0065468C"/>
    <w:rsid w:val="00666B37"/>
    <w:rsid w:val="00667C73"/>
    <w:rsid w:val="006712B1"/>
    <w:rsid w:val="00674603"/>
    <w:rsid w:val="006B120F"/>
    <w:rsid w:val="006D6475"/>
    <w:rsid w:val="007014C2"/>
    <w:rsid w:val="00721C4C"/>
    <w:rsid w:val="00726D9E"/>
    <w:rsid w:val="00755F3B"/>
    <w:rsid w:val="007A16F6"/>
    <w:rsid w:val="007B753E"/>
    <w:rsid w:val="00806468"/>
    <w:rsid w:val="00814BD6"/>
    <w:rsid w:val="00821C71"/>
    <w:rsid w:val="00844B80"/>
    <w:rsid w:val="00875BFD"/>
    <w:rsid w:val="0088435E"/>
    <w:rsid w:val="008A193D"/>
    <w:rsid w:val="008B187F"/>
    <w:rsid w:val="008E4243"/>
    <w:rsid w:val="008F03A0"/>
    <w:rsid w:val="008F6466"/>
    <w:rsid w:val="00905CD7"/>
    <w:rsid w:val="00917658"/>
    <w:rsid w:val="00923E71"/>
    <w:rsid w:val="00934706"/>
    <w:rsid w:val="0095358C"/>
    <w:rsid w:val="00984F68"/>
    <w:rsid w:val="009C6824"/>
    <w:rsid w:val="009E0158"/>
    <w:rsid w:val="009F08AD"/>
    <w:rsid w:val="009F1D8A"/>
    <w:rsid w:val="00A11210"/>
    <w:rsid w:val="00A655E9"/>
    <w:rsid w:val="00A820F0"/>
    <w:rsid w:val="00A86AF1"/>
    <w:rsid w:val="00A95559"/>
    <w:rsid w:val="00AA7220"/>
    <w:rsid w:val="00AC34A0"/>
    <w:rsid w:val="00AC39D8"/>
    <w:rsid w:val="00AC452B"/>
    <w:rsid w:val="00AE2C71"/>
    <w:rsid w:val="00B33F5E"/>
    <w:rsid w:val="00B455B6"/>
    <w:rsid w:val="00B64666"/>
    <w:rsid w:val="00B8061A"/>
    <w:rsid w:val="00B9269F"/>
    <w:rsid w:val="00BA2137"/>
    <w:rsid w:val="00BB3281"/>
    <w:rsid w:val="00BC53CA"/>
    <w:rsid w:val="00BE1696"/>
    <w:rsid w:val="00C064BE"/>
    <w:rsid w:val="00C4368F"/>
    <w:rsid w:val="00C64858"/>
    <w:rsid w:val="00C752A2"/>
    <w:rsid w:val="00CD0872"/>
    <w:rsid w:val="00CD3E4E"/>
    <w:rsid w:val="00CD661B"/>
    <w:rsid w:val="00CF0B4F"/>
    <w:rsid w:val="00D33D52"/>
    <w:rsid w:val="00D438E0"/>
    <w:rsid w:val="00D52DB6"/>
    <w:rsid w:val="00D950DD"/>
    <w:rsid w:val="00DC597F"/>
    <w:rsid w:val="00E162BA"/>
    <w:rsid w:val="00E25701"/>
    <w:rsid w:val="00E30F36"/>
    <w:rsid w:val="00E56A17"/>
    <w:rsid w:val="00E57C9E"/>
    <w:rsid w:val="00E57D89"/>
    <w:rsid w:val="00E6079C"/>
    <w:rsid w:val="00E6752A"/>
    <w:rsid w:val="00E707CF"/>
    <w:rsid w:val="00EA488B"/>
    <w:rsid w:val="00EE79F8"/>
    <w:rsid w:val="00EF0960"/>
    <w:rsid w:val="00F05650"/>
    <w:rsid w:val="00F47C6A"/>
    <w:rsid w:val="00F5038F"/>
    <w:rsid w:val="00F74A66"/>
    <w:rsid w:val="00FA0571"/>
    <w:rsid w:val="00FB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FEB2"/>
  <w15:chartTrackingRefBased/>
  <w15:docId w15:val="{A30603A4-1945-47F2-9290-9E463E68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C7300"/>
    <w:pPr>
      <w:keepNext/>
      <w:keepLines/>
      <w:spacing w:before="240" w:after="0"/>
      <w:jc w:val="center"/>
      <w:outlineLvl w:val="0"/>
    </w:pPr>
    <w:rPr>
      <w:rFonts w:ascii="Franklin Gothic Book" w:eastAsiaTheme="majorEastAsia" w:hAnsi="Franklin Gothic Book" w:cstheme="majorBidi"/>
      <w:color w:val="003E74"/>
      <w:sz w:val="40"/>
      <w:szCs w:val="40"/>
    </w:rPr>
  </w:style>
  <w:style w:type="paragraph" w:styleId="Heading2">
    <w:name w:val="heading 2"/>
    <w:basedOn w:val="Normal"/>
    <w:next w:val="Normal"/>
    <w:link w:val="Heading2Char"/>
    <w:autoRedefine/>
    <w:uiPriority w:val="9"/>
    <w:unhideWhenUsed/>
    <w:qFormat/>
    <w:rsid w:val="002C7300"/>
    <w:pPr>
      <w:keepNext/>
      <w:keepLines/>
      <w:spacing w:before="40" w:after="0"/>
      <w:outlineLvl w:val="1"/>
    </w:pPr>
    <w:rPr>
      <w:rFonts w:ascii="Franklin Gothic Book" w:eastAsiaTheme="majorEastAsia" w:hAnsi="Franklin Gothic Book" w:cstheme="majorBidi"/>
      <w:color w:val="003E74"/>
      <w:sz w:val="32"/>
      <w:szCs w:val="32"/>
    </w:rPr>
  </w:style>
  <w:style w:type="paragraph" w:styleId="Heading3">
    <w:name w:val="heading 3"/>
    <w:basedOn w:val="Normal"/>
    <w:next w:val="Normal"/>
    <w:link w:val="Heading3Char"/>
    <w:autoRedefine/>
    <w:uiPriority w:val="9"/>
    <w:unhideWhenUsed/>
    <w:qFormat/>
    <w:rsid w:val="00666B37"/>
    <w:pPr>
      <w:keepNext/>
      <w:keepLines/>
      <w:spacing w:before="40" w:after="0"/>
      <w:outlineLvl w:val="2"/>
    </w:pPr>
    <w:rPr>
      <w:rFonts w:ascii="Franklin Gothic Book" w:eastAsiaTheme="majorEastAsia" w:hAnsi="Franklin Gothic Book" w:cstheme="majorBidi"/>
      <w:color w:val="00447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18261A"/>
    <w:pPr>
      <w:numPr>
        <w:numId w:val="4"/>
      </w:numPr>
      <w:contextualSpacing/>
    </w:pPr>
    <w:rPr>
      <w:rFonts w:ascii="Franklin Gothic Book" w:hAnsi="Franklin Gothic Book"/>
    </w:rPr>
  </w:style>
  <w:style w:type="character" w:styleId="Hyperlink">
    <w:name w:val="Hyperlink"/>
    <w:basedOn w:val="DefaultParagraphFont"/>
    <w:uiPriority w:val="99"/>
    <w:unhideWhenUsed/>
    <w:rsid w:val="004072D7"/>
    <w:rPr>
      <w:color w:val="0563C1" w:themeColor="hyperlink"/>
      <w:u w:val="single"/>
    </w:rPr>
  </w:style>
  <w:style w:type="paragraph" w:styleId="BalloonText">
    <w:name w:val="Balloon Text"/>
    <w:basedOn w:val="Normal"/>
    <w:link w:val="BalloonTextChar"/>
    <w:uiPriority w:val="99"/>
    <w:semiHidden/>
    <w:unhideWhenUsed/>
    <w:rsid w:val="00302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DC"/>
    <w:rPr>
      <w:rFonts w:ascii="Segoe UI" w:hAnsi="Segoe UI" w:cs="Segoe UI"/>
      <w:sz w:val="18"/>
      <w:szCs w:val="18"/>
    </w:rPr>
  </w:style>
  <w:style w:type="character" w:styleId="CommentReference">
    <w:name w:val="annotation reference"/>
    <w:basedOn w:val="DefaultParagraphFont"/>
    <w:uiPriority w:val="99"/>
    <w:semiHidden/>
    <w:unhideWhenUsed/>
    <w:rsid w:val="002A4A6F"/>
    <w:rPr>
      <w:sz w:val="16"/>
      <w:szCs w:val="16"/>
    </w:rPr>
  </w:style>
  <w:style w:type="paragraph" w:styleId="CommentText">
    <w:name w:val="annotation text"/>
    <w:basedOn w:val="Normal"/>
    <w:link w:val="CommentTextChar"/>
    <w:uiPriority w:val="99"/>
    <w:unhideWhenUsed/>
    <w:rsid w:val="002A4A6F"/>
    <w:pPr>
      <w:spacing w:line="240" w:lineRule="auto"/>
    </w:pPr>
    <w:rPr>
      <w:sz w:val="20"/>
      <w:szCs w:val="20"/>
    </w:rPr>
  </w:style>
  <w:style w:type="character" w:customStyle="1" w:styleId="CommentTextChar">
    <w:name w:val="Comment Text Char"/>
    <w:basedOn w:val="DefaultParagraphFont"/>
    <w:link w:val="CommentText"/>
    <w:uiPriority w:val="99"/>
    <w:rsid w:val="002A4A6F"/>
    <w:rPr>
      <w:sz w:val="20"/>
      <w:szCs w:val="20"/>
    </w:rPr>
  </w:style>
  <w:style w:type="paragraph" w:styleId="CommentSubject">
    <w:name w:val="annotation subject"/>
    <w:basedOn w:val="CommentText"/>
    <w:next w:val="CommentText"/>
    <w:link w:val="CommentSubjectChar"/>
    <w:uiPriority w:val="99"/>
    <w:semiHidden/>
    <w:unhideWhenUsed/>
    <w:rsid w:val="002A4A6F"/>
    <w:rPr>
      <w:b/>
      <w:bCs/>
    </w:rPr>
  </w:style>
  <w:style w:type="character" w:customStyle="1" w:styleId="CommentSubjectChar">
    <w:name w:val="Comment Subject Char"/>
    <w:basedOn w:val="CommentTextChar"/>
    <w:link w:val="CommentSubject"/>
    <w:uiPriority w:val="99"/>
    <w:semiHidden/>
    <w:rsid w:val="002A4A6F"/>
    <w:rPr>
      <w:b/>
      <w:bCs/>
      <w:sz w:val="20"/>
      <w:szCs w:val="20"/>
    </w:rPr>
  </w:style>
  <w:style w:type="character" w:styleId="LineNumber">
    <w:name w:val="line number"/>
    <w:basedOn w:val="DefaultParagraphFont"/>
    <w:uiPriority w:val="99"/>
    <w:semiHidden/>
    <w:unhideWhenUsed/>
    <w:rsid w:val="0065468C"/>
  </w:style>
  <w:style w:type="paragraph" w:styleId="Header">
    <w:name w:val="header"/>
    <w:basedOn w:val="Normal"/>
    <w:link w:val="HeaderChar"/>
    <w:uiPriority w:val="99"/>
    <w:unhideWhenUsed/>
    <w:rsid w:val="00D5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DB6"/>
  </w:style>
  <w:style w:type="paragraph" w:styleId="Footer">
    <w:name w:val="footer"/>
    <w:basedOn w:val="Normal"/>
    <w:link w:val="FooterChar"/>
    <w:uiPriority w:val="99"/>
    <w:unhideWhenUsed/>
    <w:rsid w:val="00D5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DB6"/>
  </w:style>
  <w:style w:type="paragraph" w:styleId="Title">
    <w:name w:val="Title"/>
    <w:basedOn w:val="Normal"/>
    <w:next w:val="Normal"/>
    <w:link w:val="TitleChar"/>
    <w:autoRedefine/>
    <w:uiPriority w:val="10"/>
    <w:qFormat/>
    <w:rsid w:val="0019559B"/>
    <w:pPr>
      <w:spacing w:after="0" w:line="240" w:lineRule="auto"/>
      <w:contextualSpacing/>
      <w:jc w:val="center"/>
    </w:pPr>
    <w:rPr>
      <w:rFonts w:ascii="Franklin Gothic Book" w:eastAsiaTheme="majorEastAsia" w:hAnsi="Franklin Gothic Book" w:cstheme="majorBidi"/>
      <w:color w:val="003E74"/>
      <w:spacing w:val="-10"/>
      <w:kern w:val="28"/>
      <w:sz w:val="56"/>
      <w:szCs w:val="56"/>
    </w:rPr>
  </w:style>
  <w:style w:type="character" w:customStyle="1" w:styleId="TitleChar">
    <w:name w:val="Title Char"/>
    <w:basedOn w:val="DefaultParagraphFont"/>
    <w:link w:val="Title"/>
    <w:uiPriority w:val="10"/>
    <w:rsid w:val="0019559B"/>
    <w:rPr>
      <w:rFonts w:ascii="Franklin Gothic Book" w:eastAsiaTheme="majorEastAsia" w:hAnsi="Franklin Gothic Book" w:cstheme="majorBidi"/>
      <w:color w:val="003E74"/>
      <w:spacing w:val="-10"/>
      <w:kern w:val="28"/>
      <w:sz w:val="56"/>
      <w:szCs w:val="56"/>
    </w:rPr>
  </w:style>
  <w:style w:type="character" w:customStyle="1" w:styleId="Heading1Char">
    <w:name w:val="Heading 1 Char"/>
    <w:basedOn w:val="DefaultParagraphFont"/>
    <w:link w:val="Heading1"/>
    <w:uiPriority w:val="9"/>
    <w:rsid w:val="002C7300"/>
    <w:rPr>
      <w:rFonts w:ascii="Franklin Gothic Book" w:eastAsiaTheme="majorEastAsia" w:hAnsi="Franklin Gothic Book" w:cstheme="majorBidi"/>
      <w:color w:val="003E74"/>
      <w:sz w:val="40"/>
      <w:szCs w:val="40"/>
    </w:rPr>
  </w:style>
  <w:style w:type="character" w:customStyle="1" w:styleId="Heading2Char">
    <w:name w:val="Heading 2 Char"/>
    <w:basedOn w:val="DefaultParagraphFont"/>
    <w:link w:val="Heading2"/>
    <w:uiPriority w:val="9"/>
    <w:rsid w:val="002C7300"/>
    <w:rPr>
      <w:rFonts w:ascii="Franklin Gothic Book" w:eastAsiaTheme="majorEastAsia" w:hAnsi="Franklin Gothic Book" w:cstheme="majorBidi"/>
      <w:color w:val="003E74"/>
      <w:sz w:val="32"/>
      <w:szCs w:val="32"/>
    </w:rPr>
  </w:style>
  <w:style w:type="character" w:customStyle="1" w:styleId="Heading3Char">
    <w:name w:val="Heading 3 Char"/>
    <w:basedOn w:val="DefaultParagraphFont"/>
    <w:link w:val="Heading3"/>
    <w:uiPriority w:val="9"/>
    <w:rsid w:val="00666B37"/>
    <w:rPr>
      <w:rFonts w:ascii="Franklin Gothic Book" w:eastAsiaTheme="majorEastAsia" w:hAnsi="Franklin Gothic Book" w:cstheme="majorBidi"/>
      <w:color w:val="004474"/>
      <w:sz w:val="24"/>
      <w:szCs w:val="24"/>
    </w:rPr>
  </w:style>
  <w:style w:type="character" w:customStyle="1" w:styleId="UnresolvedMention1">
    <w:name w:val="Unresolved Mention1"/>
    <w:basedOn w:val="DefaultParagraphFont"/>
    <w:uiPriority w:val="99"/>
    <w:semiHidden/>
    <w:unhideWhenUsed/>
    <w:rsid w:val="008B187F"/>
    <w:rPr>
      <w:color w:val="808080"/>
      <w:shd w:val="clear" w:color="auto" w:fill="E6E6E6"/>
    </w:rPr>
  </w:style>
  <w:style w:type="character" w:styleId="UnresolvedMention">
    <w:name w:val="Unresolved Mention"/>
    <w:basedOn w:val="DefaultParagraphFont"/>
    <w:uiPriority w:val="99"/>
    <w:semiHidden/>
    <w:unhideWhenUsed/>
    <w:rsid w:val="00BB3281"/>
    <w:rPr>
      <w:color w:val="808080"/>
      <w:shd w:val="clear" w:color="auto" w:fill="E6E6E6"/>
    </w:rPr>
  </w:style>
  <w:style w:type="character" w:styleId="FollowedHyperlink">
    <w:name w:val="FollowedHyperlink"/>
    <w:basedOn w:val="DefaultParagraphFont"/>
    <w:uiPriority w:val="99"/>
    <w:semiHidden/>
    <w:unhideWhenUsed/>
    <w:rsid w:val="00585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dr.doleta.gov/directives/corr_doc.cfm?DOCN=7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dr.doleta.gov/directives/corr_doc.cfm?DOCN=325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3E5F05F76E149846C569EA72249F8" ma:contentTypeVersion="8" ma:contentTypeDescription="Create a new document." ma:contentTypeScope="" ma:versionID="a37c634eed2c8effc991d333117b03bb">
  <xsd:schema xmlns:xsd="http://www.w3.org/2001/XMLSchema" xmlns:xs="http://www.w3.org/2001/XMLSchema" xmlns:p="http://schemas.microsoft.com/office/2006/metadata/properties" xmlns:ns3="4c5035a6-c08d-4cfa-95e2-8c86041494ba" targetNamespace="http://schemas.microsoft.com/office/2006/metadata/properties" ma:root="true" ma:fieldsID="c0dc73bb2e5a963679ea25b8a3a0854e" ns3:_="">
    <xsd:import namespace="4c5035a6-c08d-4cfa-95e2-8c86041494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035a6-c08d-4cfa-95e2-8c8604149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D5858-8369-4EB8-98B9-64A76451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035a6-c08d-4cfa-95e2-8c860414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4A21C-9909-404B-B553-6593E229D1C1}">
  <ds:schemaRefs>
    <ds:schemaRef ds:uri="http://schemas.openxmlformats.org/officeDocument/2006/bibliography"/>
  </ds:schemaRefs>
</ds:datastoreItem>
</file>

<file path=customXml/itemProps3.xml><?xml version="1.0" encoding="utf-8"?>
<ds:datastoreItem xmlns:ds="http://schemas.openxmlformats.org/officeDocument/2006/customXml" ds:itemID="{20B9F6ED-B282-4D36-A213-877045DEA1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9E7E6F-1ADE-4246-941A-25A9CC730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Program Participation and Exit Policy</vt:lpstr>
    </vt:vector>
  </TitlesOfParts>
  <Company>MT DLI</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Participation and Exit Policy</dc:title>
  <dc:subject/>
  <dc:creator>Harris, Jennifer</dc:creator>
  <cp:keywords/>
  <dc:description/>
  <cp:lastModifiedBy>Demaray, Jane</cp:lastModifiedBy>
  <cp:revision>3</cp:revision>
  <cp:lastPrinted>2019-12-13T17:53:00Z</cp:lastPrinted>
  <dcterms:created xsi:type="dcterms:W3CDTF">2021-11-17T18:30:00Z</dcterms:created>
  <dcterms:modified xsi:type="dcterms:W3CDTF">2022-01-19T17:27:00Z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0x0101006E53E5F05F76E149846C569EA72249F8</vt:lpwstr>
  </property>
  <property fmtid="{D5CDD505-2E9C-101B-9397-08002B2CF9AE}" pid="3" name="_dlc_DocIdItemGuid">
    <vt:lpwstr>e8ca0f6a-2d51-4b9d-b621-2523758d47b2</vt:lpwstr>
  </property>
</Properties>
</file>